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A97454">
      <w:pPr>
        <w:widowControl w:val="0"/>
        <w:kinsoku/>
        <w:jc w:val="center"/>
        <w:rPr>
          <w:rFonts w:ascii="方正小标宋简体" w:eastAsia="方正小标宋简体"/>
          <w:sz w:val="44"/>
          <w:szCs w:val="44"/>
          <w:lang w:eastAsia="zh-CN"/>
        </w:rPr>
      </w:pPr>
    </w:p>
    <w:p w14:paraId="17A8C7C2">
      <w:pPr>
        <w:widowControl w:val="0"/>
        <w:kinsoku/>
        <w:jc w:val="center"/>
        <w:rPr>
          <w:rFonts w:ascii="方正小标宋简体" w:eastAsia="方正小标宋简体"/>
          <w:sz w:val="44"/>
          <w:szCs w:val="44"/>
          <w:lang w:eastAsia="zh-CN"/>
        </w:rPr>
      </w:pPr>
      <w:r>
        <w:rPr>
          <w:rFonts w:hint="eastAsia" w:ascii="方正小标宋简体" w:eastAsia="方正小标宋简体"/>
          <w:sz w:val="44"/>
          <w:szCs w:val="44"/>
          <w:lang w:eastAsia="zh-CN"/>
        </w:rPr>
        <w:t>新乡医学院分散采购实施细则</w:t>
      </w:r>
    </w:p>
    <w:p w14:paraId="27FAF565">
      <w:pPr>
        <w:pStyle w:val="3"/>
        <w:widowControl w:val="0"/>
        <w:kinsoku/>
        <w:spacing w:line="302" w:lineRule="auto"/>
        <w:rPr>
          <w:lang w:eastAsia="zh-CN"/>
        </w:rPr>
      </w:pPr>
    </w:p>
    <w:p w14:paraId="77746211">
      <w:pPr>
        <w:pStyle w:val="3"/>
        <w:widowControl w:val="0"/>
        <w:kinsoku/>
        <w:spacing w:line="302" w:lineRule="auto"/>
        <w:rPr>
          <w:lang w:eastAsia="zh-CN"/>
        </w:rPr>
      </w:pPr>
    </w:p>
    <w:p w14:paraId="0FCC60CE">
      <w:pPr>
        <w:widowControl w:val="0"/>
        <w:kinsoku/>
        <w:snapToGrid/>
        <w:spacing w:line="360" w:lineRule="auto"/>
        <w:jc w:val="center"/>
        <w:rPr>
          <w:lang w:eastAsia="zh-CN"/>
        </w:rPr>
      </w:pPr>
      <w:r>
        <w:rPr>
          <w:rFonts w:hint="eastAsia" w:ascii="黑体" w:hAnsi="黑体" w:eastAsia="黑体"/>
          <w:sz w:val="32"/>
          <w:szCs w:val="32"/>
          <w:lang w:eastAsia="zh-CN"/>
        </w:rPr>
        <w:t>第一章  总则</w:t>
      </w:r>
    </w:p>
    <w:p w14:paraId="70F4A116">
      <w:pPr>
        <w:keepNext w:val="0"/>
        <w:keepLines w:val="0"/>
        <w:pageBreakBefore w:val="0"/>
        <w:widowControl w:val="0"/>
        <w:kinsoku/>
        <w:wordWrap/>
        <w:overflowPunct/>
        <w:topLinePunct w:val="0"/>
        <w:autoSpaceDE w:val="0"/>
        <w:autoSpaceDN w:val="0"/>
        <w:bidi w:val="0"/>
        <w:adjustRightInd w:val="0"/>
        <w:snapToGrid/>
        <w:spacing w:line="560" w:lineRule="exact"/>
        <w:ind w:firstLine="643" w:firstLineChars="200"/>
        <w:jc w:val="both"/>
        <w:textAlignment w:val="baseline"/>
        <w:rPr>
          <w:rFonts w:ascii="仿宋" w:hAnsi="仿宋" w:eastAsia="仿宋"/>
          <w:sz w:val="32"/>
          <w:szCs w:val="32"/>
          <w:lang w:eastAsia="zh-CN"/>
        </w:rPr>
      </w:pPr>
      <w:r>
        <w:rPr>
          <w:rFonts w:hint="eastAsia" w:ascii="仿宋" w:hAnsi="仿宋" w:eastAsia="仿宋" w:cs="仿宋"/>
          <w:b/>
          <w:bCs/>
          <w:sz w:val="32"/>
          <w:szCs w:val="32"/>
          <w:lang w:eastAsia="zh-CN"/>
        </w:rPr>
        <w:t>第一条</w:t>
      </w:r>
      <w:r>
        <w:rPr>
          <w:rFonts w:ascii="楷体" w:hAnsi="楷体" w:eastAsia="楷体" w:cs="楷体"/>
          <w:sz w:val="32"/>
          <w:szCs w:val="32"/>
          <w:lang w:eastAsia="zh-CN"/>
        </w:rPr>
        <w:t xml:space="preserve"> </w:t>
      </w:r>
      <w:r>
        <w:rPr>
          <w:rFonts w:hint="eastAsia" w:ascii="仿宋" w:hAnsi="仿宋" w:eastAsia="仿宋"/>
          <w:sz w:val="32"/>
          <w:szCs w:val="32"/>
          <w:lang w:eastAsia="zh-CN"/>
        </w:rPr>
        <w:t>为贯彻落实</w:t>
      </w:r>
      <w:r>
        <w:rPr>
          <w:rFonts w:ascii="仿宋" w:hAnsi="仿宋" w:eastAsia="仿宋"/>
          <w:sz w:val="32"/>
          <w:szCs w:val="32"/>
          <w:lang w:eastAsia="zh-CN"/>
        </w:rPr>
        <w:t>“</w:t>
      </w:r>
      <w:r>
        <w:rPr>
          <w:rFonts w:hint="eastAsia" w:ascii="仿宋" w:hAnsi="仿宋" w:eastAsia="仿宋"/>
          <w:sz w:val="32"/>
          <w:szCs w:val="32"/>
          <w:lang w:eastAsia="zh-CN"/>
        </w:rPr>
        <w:t>放管服</w:t>
      </w:r>
      <w:r>
        <w:rPr>
          <w:rFonts w:ascii="仿宋" w:hAnsi="仿宋" w:eastAsia="仿宋"/>
          <w:sz w:val="32"/>
          <w:szCs w:val="32"/>
          <w:lang w:eastAsia="zh-CN"/>
        </w:rPr>
        <w:t>”</w:t>
      </w:r>
      <w:r>
        <w:rPr>
          <w:rFonts w:hint="eastAsia" w:ascii="仿宋" w:hAnsi="仿宋" w:eastAsia="仿宋"/>
          <w:sz w:val="32"/>
          <w:szCs w:val="32"/>
          <w:lang w:eastAsia="zh-CN"/>
        </w:rPr>
        <w:t>改革精神，进一步规范学校分散采购管理，优化服务、防范风险，提高采购质效，根据《新乡医学院招标采购管理办法》等制度规定,结合学校实际，制定本细则。</w:t>
      </w:r>
    </w:p>
    <w:p w14:paraId="7E54F0E0">
      <w:pPr>
        <w:keepNext w:val="0"/>
        <w:keepLines w:val="0"/>
        <w:pageBreakBefore w:val="0"/>
        <w:widowControl w:val="0"/>
        <w:kinsoku/>
        <w:wordWrap/>
        <w:overflowPunct/>
        <w:topLinePunct w:val="0"/>
        <w:autoSpaceDE w:val="0"/>
        <w:autoSpaceDN w:val="0"/>
        <w:bidi w:val="0"/>
        <w:adjustRightInd w:val="0"/>
        <w:snapToGrid/>
        <w:spacing w:line="560" w:lineRule="exact"/>
        <w:ind w:right="72" w:firstLine="643" w:firstLineChars="200"/>
        <w:jc w:val="both"/>
        <w:textAlignment w:val="baseline"/>
        <w:rPr>
          <w:rFonts w:ascii="仿宋" w:hAnsi="仿宋" w:eastAsia="仿宋"/>
          <w:sz w:val="32"/>
          <w:szCs w:val="32"/>
          <w:lang w:eastAsia="zh-CN"/>
        </w:rPr>
      </w:pPr>
      <w:r>
        <w:rPr>
          <w:rFonts w:hint="eastAsia" w:ascii="仿宋" w:hAnsi="仿宋" w:eastAsia="仿宋" w:cs="仿宋"/>
          <w:b/>
          <w:bCs/>
          <w:sz w:val="32"/>
          <w:szCs w:val="32"/>
          <w:lang w:eastAsia="zh-CN"/>
        </w:rPr>
        <w:t>第二条</w:t>
      </w:r>
      <w:r>
        <w:rPr>
          <w:rFonts w:ascii="楷体" w:hAnsi="楷体" w:eastAsia="楷体" w:cs="楷体"/>
          <w:sz w:val="32"/>
          <w:szCs w:val="32"/>
          <w:lang w:eastAsia="zh-CN"/>
        </w:rPr>
        <w:t xml:space="preserve"> </w:t>
      </w:r>
      <w:r>
        <w:rPr>
          <w:rFonts w:hint="eastAsia" w:ascii="仿宋" w:hAnsi="仿宋" w:eastAsia="仿宋"/>
          <w:sz w:val="32"/>
          <w:szCs w:val="32"/>
          <w:lang w:eastAsia="zh-CN"/>
        </w:rPr>
        <w:t>本细则所称“分散采购”，是指使用学校预算资金，采购项目预算金额在校内集中采购限额标准以下，采购内容在河南省政府采购网上商城采购目录范围之外，由项目单位或归口管理部门组织采购活动的行为。</w:t>
      </w:r>
    </w:p>
    <w:p w14:paraId="3EE53732">
      <w:pPr>
        <w:keepNext w:val="0"/>
        <w:keepLines w:val="0"/>
        <w:pageBreakBefore w:val="0"/>
        <w:widowControl w:val="0"/>
        <w:kinsoku/>
        <w:wordWrap/>
        <w:overflowPunct/>
        <w:topLinePunct w:val="0"/>
        <w:autoSpaceDE w:val="0"/>
        <w:autoSpaceDN w:val="0"/>
        <w:bidi w:val="0"/>
        <w:adjustRightInd w:val="0"/>
        <w:snapToGrid/>
        <w:spacing w:line="560" w:lineRule="exact"/>
        <w:ind w:right="19" w:firstLine="643" w:firstLineChars="200"/>
        <w:jc w:val="both"/>
        <w:textAlignment w:val="baseline"/>
        <w:rPr>
          <w:rFonts w:ascii="仿宋" w:hAnsi="仿宋" w:eastAsia="仿宋"/>
          <w:sz w:val="32"/>
          <w:szCs w:val="32"/>
          <w:lang w:eastAsia="zh-CN"/>
        </w:rPr>
      </w:pPr>
      <w:r>
        <w:rPr>
          <w:rFonts w:hint="eastAsia" w:ascii="仿宋" w:hAnsi="仿宋" w:eastAsia="仿宋" w:cs="仿宋"/>
          <w:b/>
          <w:bCs/>
          <w:sz w:val="32"/>
          <w:szCs w:val="32"/>
          <w:lang w:eastAsia="zh-CN"/>
        </w:rPr>
        <w:t>第三条</w:t>
      </w:r>
      <w:r>
        <w:rPr>
          <w:rFonts w:hint="eastAsia" w:ascii="楷体" w:hAnsi="楷体" w:eastAsia="楷体" w:cs="楷体"/>
          <w:sz w:val="32"/>
          <w:szCs w:val="32"/>
          <w:lang w:eastAsia="zh-CN"/>
        </w:rPr>
        <w:t xml:space="preserve"> </w:t>
      </w:r>
      <w:r>
        <w:rPr>
          <w:rFonts w:hint="eastAsia" w:ascii="仿宋" w:hAnsi="仿宋" w:eastAsia="仿宋"/>
          <w:sz w:val="32"/>
          <w:szCs w:val="32"/>
          <w:lang w:eastAsia="zh-CN"/>
        </w:rPr>
        <w:t>项目单位或归口管理部门应成立</w:t>
      </w:r>
      <w:r>
        <w:rPr>
          <w:rFonts w:hint="eastAsia" w:ascii="仿宋" w:hAnsi="仿宋" w:eastAsia="仿宋"/>
          <w:sz w:val="32"/>
          <w:szCs w:val="32"/>
          <w:lang w:val="en-US" w:eastAsia="zh-CN"/>
        </w:rPr>
        <w:t>包括</w:t>
      </w:r>
      <w:r>
        <w:rPr>
          <w:rFonts w:hint="eastAsia" w:ascii="仿宋" w:hAnsi="仿宋" w:eastAsia="仿宋"/>
          <w:sz w:val="32"/>
          <w:szCs w:val="32"/>
          <w:lang w:eastAsia="zh-CN"/>
        </w:rPr>
        <w:t>主要负责领导</w:t>
      </w:r>
      <w:r>
        <w:rPr>
          <w:rFonts w:hint="eastAsia" w:ascii="仿宋" w:hAnsi="仿宋" w:eastAsia="仿宋"/>
          <w:sz w:val="32"/>
          <w:szCs w:val="32"/>
          <w:lang w:val="en-US" w:eastAsia="zh-CN"/>
        </w:rPr>
        <w:t>在内</w:t>
      </w:r>
      <w:r>
        <w:rPr>
          <w:rFonts w:hint="eastAsia" w:ascii="仿宋" w:hAnsi="仿宋" w:eastAsia="仿宋"/>
          <w:sz w:val="32"/>
          <w:szCs w:val="32"/>
          <w:lang w:eastAsia="zh-CN"/>
        </w:rPr>
        <w:t>的三人以上采购工作组，具体负责本单位采购及相关事项。项目单位对采购业务的真实性，采购需求制定及预算编制的合法性、合规性、科学性承担主体责任，并对实施效果负责。</w:t>
      </w:r>
    </w:p>
    <w:p w14:paraId="5C281CA7">
      <w:pPr>
        <w:keepNext w:val="0"/>
        <w:keepLines w:val="0"/>
        <w:pageBreakBefore w:val="0"/>
        <w:widowControl w:val="0"/>
        <w:kinsoku/>
        <w:wordWrap/>
        <w:overflowPunct/>
        <w:topLinePunct w:val="0"/>
        <w:autoSpaceDE w:val="0"/>
        <w:autoSpaceDN w:val="0"/>
        <w:bidi w:val="0"/>
        <w:adjustRightInd w:val="0"/>
        <w:snapToGrid/>
        <w:spacing w:line="560" w:lineRule="exact"/>
        <w:ind w:right="72" w:firstLine="643" w:firstLineChars="200"/>
        <w:jc w:val="both"/>
        <w:textAlignment w:val="baseline"/>
        <w:rPr>
          <w:rFonts w:ascii="仿宋" w:hAnsi="仿宋" w:eastAsia="仿宋"/>
          <w:sz w:val="32"/>
          <w:szCs w:val="32"/>
          <w:lang w:eastAsia="zh-CN"/>
        </w:rPr>
      </w:pPr>
      <w:r>
        <w:rPr>
          <w:rFonts w:hint="eastAsia" w:ascii="仿宋" w:hAnsi="仿宋" w:eastAsia="仿宋" w:cs="仿宋"/>
          <w:b/>
          <w:bCs/>
          <w:sz w:val="32"/>
          <w:szCs w:val="32"/>
          <w:lang w:eastAsia="zh-CN"/>
        </w:rPr>
        <w:t xml:space="preserve">第四条 </w:t>
      </w:r>
      <w:r>
        <w:rPr>
          <w:rFonts w:hint="eastAsia" w:ascii="仿宋" w:hAnsi="仿宋" w:eastAsia="仿宋"/>
          <w:sz w:val="32"/>
          <w:szCs w:val="32"/>
          <w:lang w:eastAsia="zh-CN"/>
        </w:rPr>
        <w:t>各项目单位应建立健全分散采购内部控制制度，规范分散采购项目的决策、执行、监督、实施等各个环节。</w:t>
      </w:r>
    </w:p>
    <w:p w14:paraId="73A867B5">
      <w:pPr>
        <w:keepNext w:val="0"/>
        <w:keepLines w:val="0"/>
        <w:pageBreakBefore w:val="0"/>
        <w:widowControl w:val="0"/>
        <w:kinsoku/>
        <w:wordWrap/>
        <w:overflowPunct/>
        <w:topLinePunct w:val="0"/>
        <w:autoSpaceDE w:val="0"/>
        <w:autoSpaceDN w:val="0"/>
        <w:bidi w:val="0"/>
        <w:adjustRightInd w:val="0"/>
        <w:snapToGrid/>
        <w:spacing w:line="560" w:lineRule="exact"/>
        <w:ind w:right="72" w:firstLine="643" w:firstLineChars="200"/>
        <w:jc w:val="both"/>
        <w:textAlignment w:val="baseline"/>
        <w:rPr>
          <w:rFonts w:ascii="仿宋" w:hAnsi="仿宋" w:eastAsia="仿宋"/>
          <w:sz w:val="32"/>
          <w:szCs w:val="32"/>
          <w:lang w:eastAsia="zh-CN"/>
        </w:rPr>
      </w:pPr>
      <w:r>
        <w:rPr>
          <w:rFonts w:hint="eastAsia" w:ascii="仿宋" w:hAnsi="仿宋" w:eastAsia="仿宋" w:cs="仿宋"/>
          <w:b/>
          <w:bCs/>
          <w:sz w:val="32"/>
          <w:szCs w:val="32"/>
          <w:lang w:eastAsia="zh-CN"/>
        </w:rPr>
        <w:t>第五条</w:t>
      </w:r>
      <w:r>
        <w:rPr>
          <w:rFonts w:ascii="仿宋" w:hAnsi="仿宋" w:eastAsia="仿宋"/>
          <w:sz w:val="32"/>
          <w:szCs w:val="32"/>
          <w:lang w:eastAsia="zh-CN"/>
        </w:rPr>
        <w:t xml:space="preserve"> </w:t>
      </w:r>
      <w:r>
        <w:rPr>
          <w:rFonts w:hint="eastAsia" w:ascii="仿宋" w:hAnsi="仿宋" w:eastAsia="仿宋"/>
          <w:sz w:val="32"/>
          <w:szCs w:val="32"/>
          <w:lang w:eastAsia="zh-CN"/>
        </w:rPr>
        <w:t>学校分散采购项目应落实预算方可实施；按照规定应当论证的，须先完成采购论证；应当履行购置审批或建设审批等手续的，须先完成审批。</w:t>
      </w:r>
    </w:p>
    <w:p w14:paraId="1F045B18">
      <w:pPr>
        <w:keepNext w:val="0"/>
        <w:keepLines w:val="0"/>
        <w:pageBreakBefore w:val="0"/>
        <w:widowControl w:val="0"/>
        <w:kinsoku/>
        <w:wordWrap/>
        <w:overflowPunct/>
        <w:topLinePunct w:val="0"/>
        <w:autoSpaceDE w:val="0"/>
        <w:autoSpaceDN w:val="0"/>
        <w:bidi w:val="0"/>
        <w:adjustRightInd w:val="0"/>
        <w:snapToGrid/>
        <w:spacing w:line="560" w:lineRule="exact"/>
        <w:ind w:right="72" w:firstLine="643" w:firstLineChars="200"/>
        <w:jc w:val="both"/>
        <w:textAlignment w:val="baseline"/>
        <w:rPr>
          <w:rFonts w:hint="eastAsia" w:ascii="仿宋" w:hAnsi="仿宋" w:eastAsia="仿宋"/>
          <w:sz w:val="32"/>
          <w:szCs w:val="32"/>
          <w:lang w:eastAsia="zh-CN"/>
        </w:rPr>
      </w:pPr>
      <w:r>
        <w:rPr>
          <w:rFonts w:hint="eastAsia" w:ascii="仿宋" w:hAnsi="仿宋" w:eastAsia="仿宋" w:cs="仿宋"/>
          <w:b/>
          <w:bCs/>
          <w:sz w:val="32"/>
          <w:szCs w:val="32"/>
          <w:lang w:eastAsia="zh-CN"/>
        </w:rPr>
        <w:t>第六条</w:t>
      </w:r>
      <w:r>
        <w:rPr>
          <w:rFonts w:hint="eastAsia" w:ascii="仿宋" w:hAnsi="仿宋" w:eastAsia="仿宋"/>
          <w:sz w:val="32"/>
          <w:szCs w:val="32"/>
          <w:lang w:eastAsia="zh-CN"/>
        </w:rPr>
        <w:t xml:space="preserve"> 项目单位应加强分散采购的计划性，不得将项目违规化整为零规避学校集中采购。</w:t>
      </w:r>
    </w:p>
    <w:p w14:paraId="09C0D3EC">
      <w:pPr>
        <w:keepNext w:val="0"/>
        <w:keepLines w:val="0"/>
        <w:pageBreakBefore w:val="0"/>
        <w:widowControl w:val="0"/>
        <w:kinsoku/>
        <w:wordWrap/>
        <w:overflowPunct/>
        <w:topLinePunct w:val="0"/>
        <w:autoSpaceDE w:val="0"/>
        <w:autoSpaceDN w:val="0"/>
        <w:bidi w:val="0"/>
        <w:adjustRightInd w:val="0"/>
        <w:snapToGrid/>
        <w:spacing w:before="0" w:beforeLines="150" w:after="120" w:afterLines="50" w:line="360" w:lineRule="auto"/>
        <w:jc w:val="center"/>
        <w:textAlignment w:val="baseline"/>
        <w:rPr>
          <w:lang w:eastAsia="zh-CN"/>
        </w:rPr>
      </w:pPr>
      <w:r>
        <w:rPr>
          <w:rFonts w:hint="eastAsia" w:ascii="黑体" w:hAnsi="黑体" w:eastAsia="黑体"/>
          <w:sz w:val="32"/>
          <w:szCs w:val="32"/>
          <w:lang w:eastAsia="zh-CN"/>
        </w:rPr>
        <w:t>第二章  分散采购方式</w:t>
      </w:r>
    </w:p>
    <w:p w14:paraId="0787BB36">
      <w:pPr>
        <w:widowControl w:val="0"/>
        <w:kinsoku/>
        <w:snapToGrid/>
        <w:spacing w:line="560" w:lineRule="exact"/>
        <w:ind w:firstLine="643" w:firstLineChars="200"/>
        <w:jc w:val="both"/>
        <w:rPr>
          <w:rFonts w:ascii="仿宋" w:hAnsi="仿宋" w:eastAsia="仿宋"/>
          <w:sz w:val="32"/>
          <w:szCs w:val="32"/>
          <w:lang w:eastAsia="zh-CN"/>
        </w:rPr>
      </w:pPr>
      <w:r>
        <w:rPr>
          <w:rFonts w:hint="eastAsia" w:ascii="仿宋" w:hAnsi="仿宋" w:eastAsia="仿宋" w:cs="仿宋"/>
          <w:b/>
          <w:bCs/>
          <w:sz w:val="32"/>
          <w:szCs w:val="32"/>
          <w:lang w:eastAsia="zh-CN"/>
        </w:rPr>
        <w:t>第七条</w:t>
      </w:r>
      <w:r>
        <w:rPr>
          <w:rFonts w:ascii="楷体" w:hAnsi="楷体" w:eastAsia="楷体" w:cs="楷体"/>
          <w:sz w:val="32"/>
          <w:szCs w:val="32"/>
          <w:lang w:eastAsia="zh-CN"/>
        </w:rPr>
        <w:t xml:space="preserve"> </w:t>
      </w:r>
      <w:r>
        <w:rPr>
          <w:rFonts w:hint="eastAsia" w:ascii="仿宋" w:hAnsi="仿宋" w:eastAsia="仿宋"/>
          <w:sz w:val="32"/>
          <w:szCs w:val="32"/>
          <w:lang w:eastAsia="zh-CN"/>
        </w:rPr>
        <w:t>分散采购的主要方式：</w:t>
      </w:r>
    </w:p>
    <w:p w14:paraId="44BB8337">
      <w:pPr>
        <w:widowControl w:val="0"/>
        <w:kinsoku/>
        <w:snapToGrid/>
        <w:spacing w:line="560" w:lineRule="exact"/>
        <w:ind w:firstLine="640" w:firstLineChars="200"/>
        <w:jc w:val="both"/>
        <w:rPr>
          <w:rFonts w:ascii="仿宋" w:hAnsi="仿宋" w:eastAsia="仿宋"/>
          <w:sz w:val="32"/>
          <w:szCs w:val="32"/>
          <w:lang w:eastAsia="zh-CN"/>
        </w:rPr>
      </w:pPr>
      <w:r>
        <w:rPr>
          <w:rFonts w:hint="eastAsia" w:ascii="仿宋" w:hAnsi="仿宋" w:eastAsia="仿宋"/>
          <w:sz w:val="32"/>
          <w:szCs w:val="32"/>
          <w:lang w:eastAsia="zh-CN"/>
        </w:rPr>
        <w:t>（一）询价。由采购小组向符合资格条件和技术要求的三家以上供应商发出货物采购询价文件，要求供应商一次报出不得更改的价格，根据质量和服务均能满足采购文件实质性响应要求且报价最低的原则确定成交供应商的采购方式。</w:t>
      </w:r>
    </w:p>
    <w:p w14:paraId="160065C0">
      <w:pPr>
        <w:widowControl w:val="0"/>
        <w:kinsoku/>
        <w:snapToGrid/>
        <w:spacing w:line="560" w:lineRule="exact"/>
        <w:ind w:firstLine="640" w:firstLineChars="200"/>
        <w:jc w:val="both"/>
        <w:rPr>
          <w:rFonts w:ascii="仿宋" w:hAnsi="仿宋" w:eastAsia="仿宋"/>
          <w:sz w:val="32"/>
          <w:szCs w:val="32"/>
          <w:lang w:eastAsia="zh-CN"/>
        </w:rPr>
      </w:pPr>
      <w:r>
        <w:rPr>
          <w:rFonts w:hint="eastAsia" w:ascii="仿宋" w:hAnsi="仿宋" w:eastAsia="仿宋"/>
          <w:sz w:val="32"/>
          <w:szCs w:val="32"/>
          <w:lang w:eastAsia="zh-CN"/>
        </w:rPr>
        <w:t>（二）竞争性谈判。由采购小组与符合资格条件和技术要求的三家以上供应商就采购货物、工程和服务事宜进行谈判，供应商按要求提交二次以上报价，根据质量和服务均能满足采购文件实质性响应要求且最后报价最低的原则确定成交供应商的采购方式。</w:t>
      </w:r>
    </w:p>
    <w:p w14:paraId="3D25633E">
      <w:pPr>
        <w:widowControl w:val="0"/>
        <w:kinsoku/>
        <w:snapToGrid/>
        <w:spacing w:line="560" w:lineRule="exact"/>
        <w:ind w:firstLine="640" w:firstLineChars="200"/>
        <w:jc w:val="both"/>
        <w:rPr>
          <w:rFonts w:ascii="仿宋" w:hAnsi="仿宋" w:eastAsia="仿宋"/>
          <w:sz w:val="32"/>
          <w:szCs w:val="32"/>
          <w:lang w:eastAsia="zh-CN"/>
        </w:rPr>
      </w:pPr>
      <w:r>
        <w:rPr>
          <w:rFonts w:hint="eastAsia" w:ascii="仿宋" w:hAnsi="仿宋" w:eastAsia="仿宋"/>
          <w:sz w:val="32"/>
          <w:szCs w:val="32"/>
          <w:lang w:eastAsia="zh-CN"/>
        </w:rPr>
        <w:t>（三）单一来源。符合单一来源法定情形的货物或服务采购项目，由项目单位按要求组织专业人员论证后，从某一特定供应商处采购的采购方式。</w:t>
      </w:r>
    </w:p>
    <w:p w14:paraId="1718905F">
      <w:pPr>
        <w:widowControl w:val="0"/>
        <w:kinsoku/>
        <w:snapToGrid/>
        <w:spacing w:line="560" w:lineRule="exact"/>
        <w:ind w:firstLine="640" w:firstLineChars="200"/>
        <w:jc w:val="both"/>
        <w:rPr>
          <w:rFonts w:ascii="仿宋" w:hAnsi="仿宋" w:eastAsia="仿宋"/>
          <w:sz w:val="32"/>
          <w:szCs w:val="32"/>
          <w:lang w:eastAsia="zh-CN"/>
        </w:rPr>
      </w:pPr>
      <w:r>
        <w:rPr>
          <w:rFonts w:hint="eastAsia" w:ascii="仿宋" w:hAnsi="仿宋" w:eastAsia="仿宋"/>
          <w:sz w:val="32"/>
          <w:szCs w:val="32"/>
          <w:lang w:eastAsia="zh-CN"/>
        </w:rPr>
        <w:t>（四）公开比选。公开比选是指公开发布采购公告，邀请非特定供应商参加的采购方式。采购公告由采购人或采购代理机构发布，公告时间不少于三个工作日，投标人一次报出不得更改的价格，响应条款须满足招标采购需求全部实质性要求，采购小组按照评审标准推荐成交候选人。</w:t>
      </w:r>
    </w:p>
    <w:p w14:paraId="077ACD94">
      <w:pPr>
        <w:widowControl w:val="0"/>
        <w:kinsoku/>
        <w:snapToGrid/>
        <w:spacing w:line="560" w:lineRule="exact"/>
        <w:ind w:firstLine="640" w:firstLineChars="200"/>
        <w:jc w:val="both"/>
        <w:rPr>
          <w:rFonts w:ascii="仿宋" w:hAnsi="仿宋" w:eastAsia="仿宋"/>
          <w:sz w:val="32"/>
          <w:szCs w:val="32"/>
          <w:lang w:eastAsia="zh-CN"/>
        </w:rPr>
      </w:pPr>
      <w:r>
        <w:rPr>
          <w:rFonts w:hint="eastAsia" w:ascii="仿宋" w:hAnsi="仿宋" w:eastAsia="仿宋"/>
          <w:sz w:val="32"/>
          <w:szCs w:val="32"/>
          <w:lang w:eastAsia="zh-CN"/>
        </w:rPr>
        <w:t>（五）市场比选。市场比选是指在明确采购需求（商务和技术要求）的基础上，以价格为基础、以性价比为主要衡量标准择优确定成交供应商的采购方式。</w:t>
      </w:r>
    </w:p>
    <w:p w14:paraId="403DE730">
      <w:pPr>
        <w:widowControl w:val="0"/>
        <w:kinsoku/>
        <w:snapToGrid/>
        <w:spacing w:line="560" w:lineRule="exact"/>
        <w:ind w:firstLine="643" w:firstLineChars="200"/>
        <w:jc w:val="both"/>
        <w:rPr>
          <w:rFonts w:ascii="仿宋" w:hAnsi="仿宋" w:eastAsia="仿宋"/>
          <w:sz w:val="32"/>
          <w:szCs w:val="32"/>
          <w:lang w:eastAsia="zh-CN"/>
        </w:rPr>
      </w:pPr>
      <w:r>
        <w:rPr>
          <w:rFonts w:hint="eastAsia" w:ascii="仿宋" w:hAnsi="仿宋" w:eastAsia="仿宋" w:cs="仿宋"/>
          <w:b/>
          <w:bCs/>
          <w:sz w:val="32"/>
          <w:szCs w:val="32"/>
          <w:lang w:eastAsia="zh-CN"/>
        </w:rPr>
        <w:t>第八条</w:t>
      </w:r>
      <w:r>
        <w:rPr>
          <w:rFonts w:hint="eastAsia" w:ascii="仿宋" w:hAnsi="仿宋" w:eastAsia="仿宋" w:cs="仿宋"/>
          <w:b/>
          <w:color w:val="FF0000"/>
          <w:sz w:val="32"/>
          <w:szCs w:val="32"/>
          <w:lang w:eastAsia="zh-CN"/>
        </w:rPr>
        <w:t xml:space="preserve"> </w:t>
      </w:r>
      <w:r>
        <w:rPr>
          <w:rFonts w:hint="eastAsia" w:ascii="仿宋" w:hAnsi="仿宋" w:eastAsia="仿宋"/>
          <w:sz w:val="32"/>
          <w:szCs w:val="32"/>
          <w:lang w:eastAsia="zh-CN"/>
        </w:rPr>
        <w:t>金额在5万元及以下的非网上商城采购项目执行简化采购程序或直接购买，但应符合各项目单位内部管理要求，维修改造工程项目实施前还需取得后勤部门审查意见，网上商城采购项目仍需在“新乡医学院招标采购管理系统”提交采购申请。</w:t>
      </w:r>
    </w:p>
    <w:p w14:paraId="5483169E">
      <w:pPr>
        <w:widowControl w:val="0"/>
        <w:kinsoku/>
        <w:snapToGrid/>
        <w:spacing w:before="120" w:beforeLines="50" w:after="120" w:afterLines="50" w:line="360" w:lineRule="auto"/>
        <w:jc w:val="center"/>
        <w:rPr>
          <w:lang w:eastAsia="zh-CN"/>
        </w:rPr>
      </w:pPr>
      <w:r>
        <w:rPr>
          <w:rFonts w:hint="eastAsia" w:ascii="黑体" w:hAnsi="黑体" w:eastAsia="黑体"/>
          <w:sz w:val="32"/>
          <w:szCs w:val="32"/>
          <w:lang w:eastAsia="zh-CN"/>
        </w:rPr>
        <w:t>第三章  分散采购步骤与程序</w:t>
      </w:r>
    </w:p>
    <w:p w14:paraId="10E522FB">
      <w:pPr>
        <w:widowControl w:val="0"/>
        <w:kinsoku/>
        <w:snapToGrid/>
        <w:spacing w:line="560" w:lineRule="exact"/>
        <w:ind w:firstLine="643" w:firstLineChars="200"/>
        <w:jc w:val="both"/>
        <w:rPr>
          <w:rFonts w:ascii="仿宋" w:hAnsi="仿宋" w:eastAsia="仿宋"/>
          <w:sz w:val="32"/>
          <w:szCs w:val="32"/>
          <w:highlight w:val="none"/>
          <w:lang w:eastAsia="zh-CN"/>
        </w:rPr>
      </w:pPr>
      <w:r>
        <w:rPr>
          <w:rFonts w:hint="eastAsia" w:ascii="仿宋" w:hAnsi="仿宋" w:eastAsia="仿宋" w:cs="仿宋"/>
          <w:b/>
          <w:bCs/>
          <w:sz w:val="32"/>
          <w:szCs w:val="32"/>
          <w:lang w:eastAsia="zh-CN"/>
        </w:rPr>
        <w:t>第九条</w:t>
      </w:r>
      <w:r>
        <w:rPr>
          <w:rFonts w:ascii="楷体" w:hAnsi="楷体" w:eastAsia="楷体" w:cs="楷体"/>
          <w:sz w:val="33"/>
          <w:szCs w:val="33"/>
          <w:lang w:eastAsia="zh-CN"/>
        </w:rPr>
        <w:t xml:space="preserve"> </w:t>
      </w:r>
      <w:r>
        <w:rPr>
          <w:rFonts w:hint="eastAsia" w:ascii="仿宋" w:hAnsi="仿宋" w:eastAsia="仿宋"/>
          <w:sz w:val="32"/>
          <w:szCs w:val="32"/>
          <w:lang w:eastAsia="zh-CN"/>
        </w:rPr>
        <w:t>计划申报。项目单位登录“新乡医学院招标采购管理系统”进行采购申报，自行选择采购方</w:t>
      </w:r>
      <w:r>
        <w:rPr>
          <w:rFonts w:hint="eastAsia" w:ascii="仿宋" w:hAnsi="仿宋" w:eastAsia="仿宋"/>
          <w:sz w:val="32"/>
          <w:szCs w:val="32"/>
          <w:highlight w:val="none"/>
          <w:lang w:eastAsia="zh-CN"/>
        </w:rPr>
        <w:t>式，按照系统附件要求进行项目填报，并提供以下材料：</w:t>
      </w:r>
    </w:p>
    <w:p w14:paraId="4F731189">
      <w:pPr>
        <w:widowControl w:val="0"/>
        <w:kinsoku/>
        <w:snapToGrid/>
        <w:spacing w:line="560" w:lineRule="exact"/>
        <w:ind w:right="76" w:firstLine="640" w:firstLineChars="200"/>
        <w:jc w:val="both"/>
        <w:rPr>
          <w:rFonts w:hint="eastAsia" w:ascii="仿宋" w:hAnsi="仿宋" w:eastAsia="仿宋"/>
          <w:sz w:val="32"/>
          <w:szCs w:val="32"/>
          <w:highlight w:val="none"/>
          <w:lang w:eastAsia="zh-CN"/>
        </w:rPr>
      </w:pPr>
      <w:r>
        <w:rPr>
          <w:rFonts w:hint="eastAsia" w:ascii="仿宋" w:hAnsi="仿宋" w:eastAsia="仿宋"/>
          <w:sz w:val="32"/>
          <w:szCs w:val="32"/>
          <w:highlight w:val="none"/>
          <w:lang w:eastAsia="zh-CN"/>
        </w:rPr>
        <w:t>（一）预算金额在</w:t>
      </w:r>
      <w:r>
        <w:rPr>
          <w:rFonts w:hint="eastAsia" w:ascii="仿宋" w:hAnsi="仿宋" w:eastAsia="仿宋"/>
          <w:sz w:val="32"/>
          <w:szCs w:val="32"/>
          <w:highlight w:val="none"/>
          <w:lang w:val="en-US" w:eastAsia="zh-CN"/>
        </w:rPr>
        <w:t>1万元以上、</w:t>
      </w:r>
      <w:r>
        <w:rPr>
          <w:rFonts w:hint="eastAsia" w:ascii="仿宋" w:hAnsi="仿宋" w:eastAsia="仿宋"/>
          <w:sz w:val="32"/>
          <w:szCs w:val="32"/>
          <w:highlight w:val="none"/>
          <w:lang w:eastAsia="zh-CN"/>
        </w:rPr>
        <w:t>5万元以下的项目，</w:t>
      </w:r>
      <w:r>
        <w:rPr>
          <w:rFonts w:hint="eastAsia" w:ascii="仿宋" w:hAnsi="仿宋" w:eastAsia="仿宋"/>
          <w:sz w:val="32"/>
          <w:szCs w:val="32"/>
          <w:highlight w:val="none"/>
          <w:lang w:val="en-US" w:eastAsia="zh-CN"/>
        </w:rPr>
        <w:t>上传项目清单</w:t>
      </w:r>
      <w:r>
        <w:rPr>
          <w:rFonts w:hint="eastAsia" w:ascii="仿宋" w:hAnsi="仿宋" w:eastAsia="仿宋"/>
          <w:sz w:val="32"/>
          <w:szCs w:val="32"/>
          <w:highlight w:val="none"/>
          <w:lang w:eastAsia="zh-CN"/>
        </w:rPr>
        <w:t>；</w:t>
      </w:r>
    </w:p>
    <w:p w14:paraId="15D18EBC">
      <w:pPr>
        <w:widowControl w:val="0"/>
        <w:kinsoku/>
        <w:snapToGrid/>
        <w:spacing w:line="560" w:lineRule="exact"/>
        <w:ind w:firstLine="640" w:firstLineChars="200"/>
        <w:jc w:val="both"/>
        <w:rPr>
          <w:rFonts w:hint="eastAsia" w:ascii="Times New Roman" w:hAnsi="Times New Roman" w:eastAsia="仿宋" w:cs="Times New Roman"/>
          <w:sz w:val="32"/>
          <w:szCs w:val="32"/>
          <w:lang w:eastAsia="zh-CN"/>
        </w:rPr>
      </w:pPr>
      <w:r>
        <w:rPr>
          <w:rFonts w:hint="eastAsia" w:ascii="仿宋" w:hAnsi="仿宋" w:eastAsia="仿宋"/>
          <w:sz w:val="32"/>
          <w:szCs w:val="32"/>
          <w:lang w:eastAsia="zh-CN"/>
        </w:rPr>
        <w:t>（</w:t>
      </w:r>
      <w:r>
        <w:rPr>
          <w:rFonts w:hint="eastAsia" w:ascii="仿宋" w:hAnsi="仿宋" w:eastAsia="仿宋"/>
          <w:sz w:val="32"/>
          <w:szCs w:val="32"/>
          <w:lang w:val="en-US" w:eastAsia="zh-CN"/>
        </w:rPr>
        <w:t>二</w:t>
      </w:r>
      <w:r>
        <w:rPr>
          <w:rFonts w:hint="eastAsia" w:ascii="仿宋" w:hAnsi="仿宋" w:eastAsia="仿宋"/>
          <w:sz w:val="32"/>
          <w:szCs w:val="32"/>
          <w:lang w:eastAsia="zh-CN"/>
        </w:rPr>
        <w:t>）</w:t>
      </w:r>
      <w:r>
        <w:rPr>
          <w:rFonts w:hint="eastAsia" w:ascii="Times New Roman" w:hAnsi="Times New Roman" w:eastAsia="仿宋" w:cs="Times New Roman"/>
          <w:sz w:val="32"/>
          <w:szCs w:val="32"/>
          <w:lang w:eastAsia="zh-CN"/>
        </w:rPr>
        <w:t>预算金额在5万元以上，校内集中采购限额以下的项目须上传：</w:t>
      </w:r>
    </w:p>
    <w:p w14:paraId="54703818">
      <w:pPr>
        <w:widowControl w:val="0"/>
        <w:kinsoku/>
        <w:snapToGrid/>
        <w:spacing w:line="560" w:lineRule="exact"/>
        <w:ind w:firstLine="640" w:firstLineChars="200"/>
        <w:jc w:val="both"/>
        <w:rPr>
          <w:rFonts w:ascii="仿宋" w:hAnsi="仿宋" w:eastAsia="仿宋"/>
          <w:sz w:val="32"/>
          <w:szCs w:val="32"/>
          <w:lang w:eastAsia="zh-CN"/>
        </w:rPr>
      </w:pPr>
      <w:r>
        <w:rPr>
          <w:rFonts w:hint="eastAsia" w:ascii="Times New Roman" w:hAnsi="Times New Roman" w:eastAsia="仿宋" w:cs="Times New Roman"/>
          <w:sz w:val="32"/>
          <w:szCs w:val="32"/>
          <w:lang w:val="en-US" w:eastAsia="zh-CN"/>
        </w:rPr>
        <w:t>1.</w:t>
      </w:r>
      <w:r>
        <w:rPr>
          <w:rFonts w:hint="eastAsia" w:ascii="Times New Roman" w:hAnsi="Times New Roman" w:eastAsia="仿宋" w:cs="Times New Roman"/>
          <w:sz w:val="32"/>
          <w:szCs w:val="32"/>
          <w:lang w:eastAsia="zh-CN"/>
        </w:rPr>
        <w:t>党政联席会会议纪要或</w:t>
      </w:r>
      <w:r>
        <w:rPr>
          <w:rFonts w:hint="eastAsia" w:ascii="Times New Roman" w:hAnsi="Times New Roman" w:eastAsia="仿宋" w:cs="Times New Roman"/>
          <w:sz w:val="32"/>
          <w:szCs w:val="32"/>
          <w:lang w:val="en-US" w:eastAsia="zh-CN"/>
        </w:rPr>
        <w:t>部门</w:t>
      </w:r>
      <w:r>
        <w:rPr>
          <w:rFonts w:hint="eastAsia" w:ascii="Times New Roman" w:hAnsi="Times New Roman" w:eastAsia="仿宋" w:cs="Times New Roman"/>
          <w:sz w:val="32"/>
          <w:szCs w:val="32"/>
          <w:lang w:eastAsia="zh-CN"/>
        </w:rPr>
        <w:t>会议纪要；</w:t>
      </w:r>
    </w:p>
    <w:p w14:paraId="5B77D27C">
      <w:pPr>
        <w:widowControl w:val="0"/>
        <w:kinsoku/>
        <w:snapToGrid/>
        <w:spacing w:line="560" w:lineRule="exact"/>
        <w:ind w:firstLine="640" w:firstLineChars="200"/>
        <w:jc w:val="both"/>
        <w:rPr>
          <w:rFonts w:ascii="Times New Roman" w:hAnsi="Times New Roman" w:eastAsia="仿宋" w:cs="Times New Roman"/>
          <w:sz w:val="32"/>
          <w:szCs w:val="32"/>
          <w:highlight w:val="yellow"/>
          <w:lang w:eastAsia="zh-CN"/>
        </w:rPr>
      </w:pPr>
      <w:r>
        <w:rPr>
          <w:rFonts w:hint="eastAsia" w:ascii="Times New Roman" w:hAnsi="Times New Roman" w:eastAsia="仿宋" w:cs="Times New Roman"/>
          <w:sz w:val="32"/>
          <w:szCs w:val="32"/>
          <w:lang w:val="en-US" w:eastAsia="zh-CN"/>
        </w:rPr>
        <w:t>2.</w:t>
      </w:r>
      <w:r>
        <w:rPr>
          <w:rFonts w:hint="eastAsia" w:ascii="Times New Roman" w:hAnsi="Times New Roman" w:eastAsia="仿宋" w:cs="Times New Roman"/>
          <w:sz w:val="32"/>
          <w:szCs w:val="32"/>
          <w:lang w:eastAsia="zh-CN"/>
        </w:rPr>
        <w:t>采购需求材料：</w:t>
      </w:r>
    </w:p>
    <w:p w14:paraId="6F54E928">
      <w:pPr>
        <w:widowControl w:val="0"/>
        <w:kinsoku/>
        <w:snapToGrid/>
        <w:spacing w:line="560" w:lineRule="exact"/>
        <w:ind w:firstLine="640" w:firstLineChars="200"/>
        <w:jc w:val="both"/>
        <w:rPr>
          <w:rFonts w:ascii="Times New Roman" w:hAnsi="Times New Roman" w:eastAsia="仿宋" w:cs="Times New Roman"/>
          <w:b/>
          <w:sz w:val="32"/>
          <w:szCs w:val="32"/>
          <w:highlight w:val="yellow"/>
          <w:lang w:eastAsia="zh-CN"/>
        </w:rPr>
      </w:pPr>
      <w:r>
        <w:rPr>
          <w:rFonts w:hint="eastAsia" w:ascii="Times New Roman" w:hAnsi="Times New Roman" w:eastAsia="仿宋" w:cs="Times New Roman"/>
          <w:sz w:val="32"/>
          <w:szCs w:val="32"/>
          <w:lang w:eastAsia="zh-CN"/>
        </w:rPr>
        <w:t>货物、服务类项目</w:t>
      </w:r>
      <w:r>
        <w:rPr>
          <w:rFonts w:ascii="Times New Roman" w:hAnsi="Times New Roman" w:eastAsia="仿宋" w:cs="Times New Roman"/>
          <w:sz w:val="32"/>
          <w:szCs w:val="32"/>
          <w:lang w:eastAsia="zh-CN"/>
        </w:rPr>
        <w:t>采购需求</w:t>
      </w:r>
      <w:r>
        <w:rPr>
          <w:rFonts w:hint="eastAsia" w:ascii="Times New Roman" w:hAnsi="Times New Roman" w:eastAsia="仿宋" w:cs="Times New Roman"/>
          <w:sz w:val="32"/>
          <w:szCs w:val="32"/>
          <w:lang w:eastAsia="zh-CN"/>
        </w:rPr>
        <w:t>重点</w:t>
      </w:r>
      <w:r>
        <w:rPr>
          <w:rFonts w:ascii="Times New Roman" w:hAnsi="Times New Roman" w:eastAsia="仿宋" w:cs="Times New Roman"/>
          <w:sz w:val="32"/>
          <w:szCs w:val="32"/>
          <w:lang w:eastAsia="zh-CN"/>
        </w:rPr>
        <w:t>包括项目技术、商务要求</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技术要求是指对采购标的的功能和质量要求，包括性能、材料、结构、外观、安全，或者服务内容和标准等</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商务要求是指取得采购标的的时间、地点、财务和服务要求，包括交付</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实施</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的时间</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期限</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和地点</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范围</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付款条件</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进度和方式</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lang w:eastAsia="zh-CN"/>
        </w:rPr>
        <w:t>包装和运输，</w:t>
      </w:r>
      <w:r>
        <w:rPr>
          <w:rFonts w:hint="eastAsia" w:ascii="Times New Roman" w:hAnsi="Times New Roman" w:eastAsia="仿宋" w:cs="Times New Roman"/>
          <w:sz w:val="32"/>
          <w:szCs w:val="32"/>
          <w:lang w:eastAsia="zh-CN"/>
        </w:rPr>
        <w:t>质保期，</w:t>
      </w:r>
      <w:r>
        <w:rPr>
          <w:rFonts w:ascii="Times New Roman" w:hAnsi="Times New Roman" w:eastAsia="仿宋" w:cs="Times New Roman"/>
          <w:sz w:val="32"/>
          <w:szCs w:val="32"/>
          <w:lang w:eastAsia="zh-CN"/>
        </w:rPr>
        <w:t>售后服务，保险等</w:t>
      </w:r>
      <w:r>
        <w:rPr>
          <w:rFonts w:hint="eastAsia" w:ascii="Times New Roman" w:hAnsi="Times New Roman" w:eastAsia="仿宋" w:cs="Times New Roman"/>
          <w:sz w:val="32"/>
          <w:szCs w:val="32"/>
          <w:lang w:eastAsia="zh-CN"/>
        </w:rPr>
        <w:t>。办公通用货物的需求还须符合通用资产的配置标准。</w:t>
      </w:r>
    </w:p>
    <w:p w14:paraId="59765522">
      <w:pPr>
        <w:widowControl w:val="0"/>
        <w:kinsoku/>
        <w:snapToGrid/>
        <w:spacing w:line="560" w:lineRule="exact"/>
        <w:ind w:firstLine="640" w:firstLineChars="200"/>
        <w:jc w:val="both"/>
        <w:rPr>
          <w:rFonts w:ascii="Times New Roman" w:hAnsi="Times New Roman" w:eastAsia="仿宋" w:cs="Times New Roman"/>
          <w:sz w:val="32"/>
          <w:szCs w:val="32"/>
          <w:lang w:eastAsia="zh-CN"/>
        </w:rPr>
      </w:pPr>
      <w:r>
        <w:rPr>
          <w:rFonts w:hint="eastAsia" w:ascii="Times New Roman" w:hAnsi="Times New Roman" w:eastAsia="仿宋" w:cs="Times New Roman"/>
          <w:sz w:val="32"/>
          <w:szCs w:val="32"/>
          <w:lang w:eastAsia="zh-CN"/>
        </w:rPr>
        <w:t>工程类项目采购需求重点</w:t>
      </w:r>
      <w:r>
        <w:rPr>
          <w:rFonts w:hint="eastAsia" w:ascii="Times New Roman" w:hAnsi="Times New Roman" w:eastAsia="仿宋" w:cs="Times New Roman"/>
          <w:sz w:val="32"/>
          <w:szCs w:val="32"/>
          <w:lang w:val="en-US" w:eastAsia="zh-CN"/>
        </w:rPr>
        <w:t>包括</w:t>
      </w:r>
      <w:r>
        <w:rPr>
          <w:rFonts w:hint="eastAsia" w:ascii="Times New Roman" w:hAnsi="Times New Roman" w:eastAsia="仿宋" w:cs="Times New Roman"/>
          <w:sz w:val="32"/>
          <w:szCs w:val="32"/>
          <w:lang w:eastAsia="zh-CN"/>
        </w:rPr>
        <w:t>工程量清单、控制价、图纸、设计方案、主要材料、资质要求、商务要求等，相关材料须经后勤保障部审核后，出具审核意见。涉及消防和房屋结构安全的项目，还应有后勤保障部出具的专门意见。</w:t>
      </w:r>
    </w:p>
    <w:p w14:paraId="30EE8A0B">
      <w:pPr>
        <w:widowControl w:val="0"/>
        <w:kinsoku/>
        <w:snapToGrid/>
        <w:spacing w:line="560" w:lineRule="exact"/>
        <w:ind w:right="66" w:firstLine="643" w:firstLineChars="200"/>
        <w:jc w:val="both"/>
        <w:rPr>
          <w:rFonts w:ascii="Times New Roman" w:hAnsi="Times New Roman" w:eastAsia="仿宋" w:cs="Times New Roman"/>
          <w:b/>
          <w:sz w:val="32"/>
          <w:szCs w:val="32"/>
          <w:lang w:eastAsia="zh-CN"/>
        </w:rPr>
      </w:pPr>
      <w:r>
        <w:rPr>
          <w:rFonts w:hint="eastAsia" w:ascii="Times New Roman" w:hAnsi="Times New Roman" w:eastAsia="仿宋" w:cs="Times New Roman"/>
          <w:b/>
          <w:sz w:val="32"/>
          <w:szCs w:val="32"/>
          <w:lang w:eastAsia="zh-CN"/>
        </w:rPr>
        <w:t xml:space="preserve">第十条 </w:t>
      </w:r>
      <w:r>
        <w:rPr>
          <w:rFonts w:hint="eastAsia" w:ascii="Times New Roman" w:hAnsi="Times New Roman" w:eastAsia="仿宋" w:cs="Times New Roman"/>
          <w:b/>
          <w:sz w:val="32"/>
          <w:szCs w:val="32"/>
          <w:lang w:val="en-US" w:eastAsia="zh-CN"/>
        </w:rPr>
        <w:t xml:space="preserve"> </w:t>
      </w:r>
      <w:r>
        <w:rPr>
          <w:rFonts w:hint="eastAsia" w:ascii="Times New Roman" w:hAnsi="Times New Roman" w:eastAsia="仿宋" w:cs="Times New Roman"/>
          <w:bCs/>
          <w:sz w:val="32"/>
          <w:szCs w:val="32"/>
          <w:lang w:eastAsia="zh-CN"/>
        </w:rPr>
        <w:t>单一来源采购申报。</w:t>
      </w:r>
    </w:p>
    <w:p w14:paraId="3F075E9D">
      <w:pPr>
        <w:widowControl w:val="0"/>
        <w:kinsoku/>
        <w:snapToGrid/>
        <w:spacing w:line="560" w:lineRule="exact"/>
        <w:ind w:right="66" w:firstLine="640" w:firstLineChars="200"/>
        <w:jc w:val="both"/>
        <w:rPr>
          <w:rFonts w:ascii="Times New Roman" w:hAnsi="Times New Roman" w:eastAsia="仿宋" w:cs="Times New Roman"/>
          <w:color w:val="auto"/>
          <w:sz w:val="32"/>
          <w:szCs w:val="32"/>
          <w:lang w:eastAsia="zh-CN"/>
        </w:rPr>
      </w:pPr>
      <w:r>
        <w:rPr>
          <w:rFonts w:hint="eastAsia" w:ascii="Times New Roman" w:hAnsi="Times New Roman" w:eastAsia="仿宋" w:cs="Times New Roman"/>
          <w:color w:val="auto"/>
          <w:sz w:val="32"/>
          <w:szCs w:val="32"/>
          <w:lang w:eastAsia="zh-CN"/>
        </w:rPr>
        <w:t>采用单一来源采购的，应同时上传单一来源采购论证报告及情况说明。论证报告须3名副高以上职称专家手写，论证意见应明确只有</w:t>
      </w:r>
      <w:r>
        <w:rPr>
          <w:rFonts w:ascii="Times New Roman" w:hAnsi="Times New Roman" w:eastAsia="仿宋" w:cs="Times New Roman"/>
          <w:color w:val="auto"/>
          <w:sz w:val="32"/>
          <w:szCs w:val="32"/>
          <w:lang w:eastAsia="zh-CN"/>
        </w:rPr>
        <w:t>1</w:t>
      </w:r>
      <w:r>
        <w:rPr>
          <w:rFonts w:hint="eastAsia" w:ascii="Times New Roman" w:hAnsi="Times New Roman" w:eastAsia="仿宋" w:cs="Times New Roman"/>
          <w:color w:val="auto"/>
          <w:sz w:val="32"/>
          <w:szCs w:val="32"/>
          <w:lang w:eastAsia="zh-CN"/>
        </w:rPr>
        <w:t>家供应商（或产品）能满足采购需求。</w:t>
      </w:r>
    </w:p>
    <w:p w14:paraId="158E4243">
      <w:pPr>
        <w:widowControl w:val="0"/>
        <w:kinsoku/>
        <w:snapToGrid/>
        <w:spacing w:line="560" w:lineRule="exact"/>
        <w:ind w:right="66" w:firstLine="640" w:firstLineChars="200"/>
        <w:jc w:val="both"/>
        <w:rPr>
          <w:rFonts w:ascii="Times New Roman" w:hAnsi="Times New Roman" w:eastAsia="仿宋" w:cs="Times New Roman"/>
          <w:color w:val="auto"/>
          <w:sz w:val="32"/>
          <w:szCs w:val="32"/>
          <w:lang w:eastAsia="zh-CN"/>
        </w:rPr>
      </w:pPr>
      <w:r>
        <w:rPr>
          <w:rFonts w:hint="eastAsia" w:ascii="Times New Roman" w:hAnsi="Times New Roman" w:eastAsia="仿宋" w:cs="Times New Roman"/>
          <w:color w:val="auto"/>
          <w:sz w:val="32"/>
          <w:szCs w:val="32"/>
          <w:lang w:eastAsia="zh-CN"/>
        </w:rPr>
        <w:t>单一来源采购公示，采购需求审核通过后，项目单位在网站发布单一来源采购公示，公示时间为</w:t>
      </w:r>
      <w:r>
        <w:rPr>
          <w:rFonts w:ascii="Times New Roman" w:hAnsi="Times New Roman" w:eastAsia="仿宋" w:cs="Times New Roman"/>
          <w:color w:val="auto"/>
          <w:sz w:val="32"/>
          <w:szCs w:val="32"/>
          <w:lang w:eastAsia="zh-CN"/>
        </w:rPr>
        <w:t>5</w:t>
      </w:r>
      <w:r>
        <w:rPr>
          <w:rFonts w:hint="eastAsia" w:ascii="Times New Roman" w:hAnsi="Times New Roman" w:eastAsia="仿宋" w:cs="Times New Roman"/>
          <w:color w:val="auto"/>
          <w:sz w:val="32"/>
          <w:szCs w:val="32"/>
          <w:lang w:eastAsia="zh-CN"/>
        </w:rPr>
        <w:t>个工作日。公示期间，如有其他符合采购需求供应商，应改为其他方式采购。</w:t>
      </w:r>
    </w:p>
    <w:p w14:paraId="4B94AFFA">
      <w:pPr>
        <w:widowControl w:val="0"/>
        <w:kinsoku/>
        <w:snapToGrid/>
        <w:spacing w:line="560" w:lineRule="exact"/>
        <w:ind w:right="76" w:firstLine="643" w:firstLineChars="200"/>
        <w:jc w:val="both"/>
        <w:rPr>
          <w:rFonts w:ascii="仿宋" w:hAnsi="仿宋" w:eastAsia="仿宋"/>
          <w:sz w:val="32"/>
          <w:szCs w:val="32"/>
          <w:highlight w:val="none"/>
          <w:lang w:eastAsia="zh-CN"/>
        </w:rPr>
      </w:pPr>
      <w:r>
        <w:rPr>
          <w:rFonts w:hint="eastAsia" w:ascii="仿宋" w:hAnsi="仿宋" w:eastAsia="仿宋" w:cs="仿宋"/>
          <w:b/>
          <w:bCs/>
          <w:sz w:val="32"/>
          <w:szCs w:val="32"/>
          <w:lang w:eastAsia="zh-CN"/>
        </w:rPr>
        <w:t>第十一条</w:t>
      </w:r>
      <w:r>
        <w:rPr>
          <w:rFonts w:ascii="楷体" w:hAnsi="楷体" w:eastAsia="楷体" w:cs="楷体"/>
          <w:sz w:val="33"/>
          <w:szCs w:val="33"/>
          <w:lang w:eastAsia="zh-CN"/>
        </w:rPr>
        <w:t xml:space="preserve"> </w:t>
      </w:r>
      <w:r>
        <w:rPr>
          <w:rFonts w:hint="eastAsia" w:ascii="仿宋" w:hAnsi="仿宋" w:eastAsia="仿宋"/>
          <w:sz w:val="32"/>
          <w:szCs w:val="32"/>
          <w:lang w:eastAsia="zh-CN"/>
        </w:rPr>
        <w:t>项目审</w:t>
      </w:r>
      <w:r>
        <w:rPr>
          <w:rFonts w:hint="eastAsia" w:ascii="仿宋" w:hAnsi="仿宋" w:eastAsia="仿宋"/>
          <w:sz w:val="32"/>
          <w:szCs w:val="32"/>
          <w:highlight w:val="none"/>
          <w:lang w:eastAsia="zh-CN"/>
        </w:rPr>
        <w:t xml:space="preserve">批与备案 </w:t>
      </w:r>
    </w:p>
    <w:p w14:paraId="3BAF9601">
      <w:pPr>
        <w:widowControl w:val="0"/>
        <w:kinsoku/>
        <w:snapToGrid/>
        <w:spacing w:line="560" w:lineRule="exact"/>
        <w:ind w:right="76" w:firstLine="640" w:firstLineChars="200"/>
        <w:jc w:val="both"/>
        <w:rPr>
          <w:rFonts w:ascii="仿宋" w:hAnsi="仿宋" w:eastAsia="仿宋"/>
          <w:sz w:val="32"/>
          <w:szCs w:val="32"/>
          <w:highlight w:val="none"/>
          <w:lang w:eastAsia="zh-CN"/>
        </w:rPr>
      </w:pPr>
      <w:r>
        <w:rPr>
          <w:rFonts w:hint="eastAsia" w:ascii="仿宋" w:hAnsi="仿宋" w:eastAsia="仿宋"/>
          <w:sz w:val="32"/>
          <w:szCs w:val="32"/>
          <w:highlight w:val="none"/>
          <w:lang w:eastAsia="zh-CN"/>
        </w:rPr>
        <w:t>（一）预算金额在</w:t>
      </w:r>
      <w:r>
        <w:rPr>
          <w:rFonts w:hint="eastAsia" w:ascii="仿宋" w:hAnsi="仿宋" w:eastAsia="仿宋"/>
          <w:sz w:val="32"/>
          <w:szCs w:val="32"/>
          <w:highlight w:val="none"/>
          <w:lang w:val="en-US" w:eastAsia="zh-CN"/>
        </w:rPr>
        <w:t>1万元以上、</w:t>
      </w:r>
      <w:r>
        <w:rPr>
          <w:rFonts w:hint="eastAsia" w:ascii="仿宋" w:hAnsi="仿宋" w:eastAsia="仿宋"/>
          <w:sz w:val="32"/>
          <w:szCs w:val="32"/>
          <w:highlight w:val="none"/>
          <w:lang w:eastAsia="zh-CN"/>
        </w:rPr>
        <w:t>5万元以下的项目，按照本部门内控要求</w:t>
      </w:r>
      <w:r>
        <w:rPr>
          <w:rFonts w:hint="eastAsia" w:ascii="仿宋" w:hAnsi="仿宋" w:eastAsia="仿宋"/>
          <w:sz w:val="32"/>
          <w:szCs w:val="32"/>
          <w:highlight w:val="none"/>
          <w:lang w:val="en-US" w:eastAsia="zh-CN"/>
        </w:rPr>
        <w:t>自行审批，工程类项目须经</w:t>
      </w:r>
      <w:r>
        <w:rPr>
          <w:rFonts w:hint="eastAsia" w:ascii="仿宋" w:hAnsi="仿宋" w:eastAsia="仿宋"/>
          <w:sz w:val="32"/>
          <w:szCs w:val="32"/>
          <w:highlight w:val="none"/>
          <w:lang w:eastAsia="zh-CN"/>
        </w:rPr>
        <w:t>后勤保障部审</w:t>
      </w:r>
      <w:r>
        <w:rPr>
          <w:rFonts w:hint="eastAsia" w:ascii="仿宋" w:hAnsi="仿宋" w:eastAsia="仿宋"/>
          <w:sz w:val="32"/>
          <w:szCs w:val="32"/>
          <w:highlight w:val="none"/>
          <w:lang w:val="en-US" w:eastAsia="zh-CN"/>
        </w:rPr>
        <w:t>核</w:t>
      </w:r>
      <w:r>
        <w:rPr>
          <w:rFonts w:hint="eastAsia" w:ascii="仿宋" w:hAnsi="仿宋" w:eastAsia="仿宋"/>
          <w:sz w:val="32"/>
          <w:szCs w:val="32"/>
          <w:highlight w:val="none"/>
          <w:lang w:eastAsia="zh-CN"/>
        </w:rPr>
        <w:t>；</w:t>
      </w:r>
    </w:p>
    <w:p w14:paraId="2E69E395">
      <w:pPr>
        <w:widowControl w:val="0"/>
        <w:kinsoku/>
        <w:snapToGrid/>
        <w:spacing w:line="560" w:lineRule="exact"/>
        <w:ind w:right="76" w:firstLine="640" w:firstLineChars="200"/>
        <w:jc w:val="both"/>
        <w:rPr>
          <w:rFonts w:ascii="仿宋" w:hAnsi="仿宋" w:eastAsia="仿宋"/>
          <w:sz w:val="32"/>
          <w:szCs w:val="32"/>
          <w:highlight w:val="none"/>
          <w:lang w:eastAsia="zh-CN"/>
        </w:rPr>
      </w:pPr>
      <w:r>
        <w:rPr>
          <w:rFonts w:hint="eastAsia" w:ascii="仿宋" w:hAnsi="仿宋" w:eastAsia="仿宋"/>
          <w:sz w:val="32"/>
          <w:szCs w:val="32"/>
          <w:highlight w:val="none"/>
          <w:lang w:eastAsia="zh-CN"/>
        </w:rPr>
        <w:t>（二）预算金额在5万元以上，校内集中采购限额标准以下的项目，由项目单位负责人、归口管理部门（如有）、后勤保障部（仅工程类项目）、财务部门、项目单位分管校领导审批；</w:t>
      </w:r>
    </w:p>
    <w:p w14:paraId="2277C2BA">
      <w:pPr>
        <w:widowControl w:val="0"/>
        <w:kinsoku/>
        <w:snapToGrid/>
        <w:spacing w:line="560" w:lineRule="exact"/>
        <w:ind w:right="76" w:firstLine="640" w:firstLineChars="200"/>
        <w:jc w:val="both"/>
        <w:rPr>
          <w:rFonts w:ascii="Times New Roman" w:hAnsi="Times New Roman" w:eastAsia="仿宋" w:cs="Times New Roman"/>
          <w:sz w:val="32"/>
          <w:szCs w:val="32"/>
          <w:highlight w:val="none"/>
          <w:lang w:eastAsia="zh-CN"/>
        </w:rPr>
      </w:pPr>
      <w:r>
        <w:rPr>
          <w:rFonts w:hint="eastAsia" w:ascii="仿宋" w:hAnsi="仿宋" w:eastAsia="仿宋"/>
          <w:sz w:val="32"/>
          <w:szCs w:val="32"/>
          <w:highlight w:val="none"/>
          <w:lang w:eastAsia="zh-CN"/>
        </w:rPr>
        <w:t>（三）校内集中采购限额以下</w:t>
      </w:r>
      <w:r>
        <w:rPr>
          <w:rFonts w:ascii="Times New Roman" w:hAnsi="Times New Roman" w:eastAsia="仿宋" w:cs="Times New Roman"/>
          <w:sz w:val="32"/>
          <w:szCs w:val="32"/>
          <w:highlight w:val="none"/>
          <w:lang w:eastAsia="zh-CN"/>
        </w:rPr>
        <w:t>使用横向科研课题经费开展的货物、服务采购项目由课题组</w:t>
      </w:r>
      <w:r>
        <w:rPr>
          <w:rFonts w:hint="eastAsia" w:ascii="Times New Roman" w:hAnsi="Times New Roman" w:eastAsia="仿宋" w:cs="Times New Roman"/>
          <w:sz w:val="32"/>
          <w:szCs w:val="32"/>
          <w:highlight w:val="none"/>
          <w:lang w:eastAsia="zh-CN"/>
        </w:rPr>
        <w:t>经费负责人审批；</w:t>
      </w:r>
    </w:p>
    <w:p w14:paraId="67218384">
      <w:pPr>
        <w:widowControl w:val="0"/>
        <w:kinsoku/>
        <w:snapToGrid/>
        <w:spacing w:line="560" w:lineRule="exact"/>
        <w:ind w:right="76" w:firstLine="640" w:firstLineChars="200"/>
        <w:jc w:val="both"/>
        <w:rPr>
          <w:rFonts w:ascii="仿宋" w:hAnsi="仿宋" w:eastAsia="仿宋"/>
          <w:sz w:val="32"/>
          <w:szCs w:val="32"/>
          <w:highlight w:val="none"/>
          <w:lang w:eastAsia="zh-CN"/>
        </w:rPr>
      </w:pPr>
      <w:r>
        <w:rPr>
          <w:rFonts w:hint="eastAsia" w:ascii="仿宋" w:hAnsi="仿宋" w:eastAsia="仿宋"/>
          <w:sz w:val="32"/>
          <w:szCs w:val="32"/>
          <w:highlight w:val="none"/>
          <w:lang w:eastAsia="zh-CN"/>
        </w:rPr>
        <w:t>（四）审批完成后由招采办审核分散采购资料，并进行项目备案。</w:t>
      </w:r>
    </w:p>
    <w:p w14:paraId="09F74BC7">
      <w:pPr>
        <w:widowControl w:val="0"/>
        <w:kinsoku/>
        <w:snapToGrid/>
        <w:spacing w:line="560" w:lineRule="exact"/>
        <w:ind w:right="66" w:firstLine="643" w:firstLineChars="200"/>
        <w:jc w:val="both"/>
        <w:rPr>
          <w:rFonts w:ascii="仿宋" w:hAnsi="仿宋" w:eastAsia="仿宋"/>
          <w:sz w:val="32"/>
          <w:szCs w:val="32"/>
          <w:highlight w:val="none"/>
          <w:lang w:eastAsia="zh-CN"/>
        </w:rPr>
      </w:pPr>
      <w:r>
        <w:rPr>
          <w:rFonts w:hint="eastAsia" w:ascii="仿宋" w:hAnsi="仿宋" w:eastAsia="仿宋" w:cs="仿宋"/>
          <w:b/>
          <w:bCs/>
          <w:sz w:val="32"/>
          <w:szCs w:val="32"/>
          <w:highlight w:val="none"/>
          <w:lang w:eastAsia="zh-CN"/>
        </w:rPr>
        <w:t>第十二条</w:t>
      </w:r>
      <w:r>
        <w:rPr>
          <w:rFonts w:ascii="楷体" w:hAnsi="楷体" w:eastAsia="楷体" w:cs="楷体"/>
          <w:sz w:val="33"/>
          <w:szCs w:val="33"/>
          <w:highlight w:val="none"/>
          <w:lang w:eastAsia="zh-CN"/>
        </w:rPr>
        <w:t xml:space="preserve"> </w:t>
      </w:r>
      <w:r>
        <w:rPr>
          <w:rFonts w:hint="eastAsia" w:ascii="仿宋" w:hAnsi="仿宋" w:eastAsia="仿宋"/>
          <w:sz w:val="32"/>
          <w:szCs w:val="32"/>
          <w:highlight w:val="none"/>
          <w:lang w:eastAsia="zh-CN"/>
        </w:rPr>
        <w:t>采购组织。项目单位按招采办备案的采购方式组织采购，流程如下：</w:t>
      </w:r>
    </w:p>
    <w:p w14:paraId="24556B0B">
      <w:pPr>
        <w:widowControl w:val="0"/>
        <w:kinsoku/>
        <w:snapToGrid/>
        <w:spacing w:line="560" w:lineRule="exact"/>
        <w:ind w:right="66" w:firstLine="640" w:firstLineChars="200"/>
        <w:jc w:val="both"/>
        <w:rPr>
          <w:rFonts w:ascii="Times New Roman" w:hAnsi="Times New Roman" w:eastAsia="仿宋" w:cs="Times New Roman"/>
          <w:sz w:val="32"/>
          <w:szCs w:val="32"/>
          <w:lang w:eastAsia="zh-CN"/>
        </w:rPr>
      </w:pPr>
      <w:r>
        <w:rPr>
          <w:rFonts w:hint="eastAsia" w:ascii="仿宋" w:hAnsi="仿宋" w:eastAsia="仿宋"/>
          <w:sz w:val="32"/>
          <w:szCs w:val="32"/>
          <w:highlight w:val="none"/>
          <w:lang w:eastAsia="zh-CN"/>
        </w:rPr>
        <w:t>（一）采购工作组组织编写</w:t>
      </w:r>
      <w:r>
        <w:rPr>
          <w:rFonts w:hint="eastAsia" w:ascii="Times New Roman" w:hAnsi="Times New Roman" w:eastAsia="仿宋" w:cs="Times New Roman"/>
          <w:sz w:val="32"/>
          <w:szCs w:val="32"/>
          <w:highlight w:val="none"/>
          <w:lang w:eastAsia="zh-CN"/>
        </w:rPr>
        <w:t>采购文件。采购文件参考</w:t>
      </w:r>
      <w:r>
        <w:rPr>
          <w:rFonts w:hint="eastAsia" w:ascii="仿宋" w:hAnsi="仿宋" w:eastAsia="仿宋"/>
          <w:sz w:val="32"/>
          <w:szCs w:val="32"/>
          <w:highlight w:val="none"/>
          <w:lang w:eastAsia="zh-CN"/>
        </w:rPr>
        <w:t>招采</w:t>
      </w:r>
      <w:r>
        <w:rPr>
          <w:rFonts w:hint="eastAsia" w:ascii="Times New Roman" w:hAnsi="Times New Roman" w:eastAsia="仿宋" w:cs="Times New Roman"/>
          <w:sz w:val="32"/>
          <w:szCs w:val="32"/>
          <w:highlight w:val="none"/>
          <w:lang w:eastAsia="zh-CN"/>
        </w:rPr>
        <w:t>办发布的文件模板进行编制。</w:t>
      </w:r>
      <w:r>
        <w:rPr>
          <w:rFonts w:hint="eastAsia" w:ascii="仿宋" w:hAnsi="仿宋" w:eastAsia="仿宋"/>
          <w:sz w:val="32"/>
          <w:szCs w:val="32"/>
          <w:highlight w:val="none"/>
          <w:lang w:eastAsia="zh-CN"/>
        </w:rPr>
        <w:t>采购文件不得要求或者标明供应商名称或者特定货物的品牌，不得含有</w:t>
      </w:r>
      <w:r>
        <w:rPr>
          <w:rFonts w:hint="eastAsia" w:ascii="仿宋" w:hAnsi="仿宋" w:eastAsia="仿宋"/>
          <w:sz w:val="32"/>
          <w:szCs w:val="32"/>
          <w:lang w:eastAsia="zh-CN"/>
        </w:rPr>
        <w:t>指向特定供应商的技术、服务等条件；</w:t>
      </w:r>
    </w:p>
    <w:p w14:paraId="2538D0C2">
      <w:pPr>
        <w:widowControl w:val="0"/>
        <w:kinsoku/>
        <w:snapToGrid/>
        <w:spacing w:line="560" w:lineRule="exact"/>
        <w:ind w:right="66" w:firstLine="640" w:firstLineChars="200"/>
        <w:jc w:val="both"/>
        <w:rPr>
          <w:rFonts w:ascii="Times New Roman" w:hAnsi="Times New Roman" w:eastAsia="仿宋" w:cs="Times New Roman"/>
          <w:sz w:val="32"/>
          <w:szCs w:val="32"/>
          <w:lang w:eastAsia="zh-CN"/>
        </w:rPr>
      </w:pPr>
      <w:r>
        <w:rPr>
          <w:rFonts w:hint="eastAsia" w:ascii="仿宋" w:hAnsi="仿宋" w:eastAsia="仿宋"/>
          <w:sz w:val="32"/>
          <w:szCs w:val="32"/>
          <w:lang w:eastAsia="zh-CN"/>
        </w:rPr>
        <w:t>（二）公告发布。采购公告通过网站公开发布，向报名的供应商提供采购文件，公告发布的时间一般不少于三个工作日；</w:t>
      </w:r>
    </w:p>
    <w:p w14:paraId="5F651A34">
      <w:pPr>
        <w:widowControl w:val="0"/>
        <w:kinsoku/>
        <w:snapToGrid/>
        <w:spacing w:line="560" w:lineRule="exact"/>
        <w:ind w:right="66" w:firstLine="640" w:firstLineChars="200"/>
        <w:jc w:val="both"/>
        <w:rPr>
          <w:rFonts w:ascii="仿宋" w:hAnsi="仿宋" w:eastAsia="仿宋"/>
          <w:sz w:val="32"/>
          <w:szCs w:val="32"/>
          <w:lang w:eastAsia="zh-CN"/>
        </w:rPr>
      </w:pPr>
      <w:r>
        <w:rPr>
          <w:rFonts w:hint="eastAsia" w:ascii="仿宋" w:hAnsi="仿宋" w:eastAsia="仿宋"/>
          <w:sz w:val="32"/>
          <w:szCs w:val="32"/>
          <w:lang w:eastAsia="zh-CN"/>
        </w:rPr>
        <w:t>（三）供应商提交响应文件。提交响应文件且符合条件的供应商不少于三家；</w:t>
      </w:r>
    </w:p>
    <w:p w14:paraId="55AC9657">
      <w:pPr>
        <w:widowControl w:val="0"/>
        <w:kinsoku/>
        <w:snapToGrid/>
        <w:spacing w:line="560" w:lineRule="exact"/>
        <w:ind w:right="66" w:firstLine="640" w:firstLineChars="200"/>
        <w:jc w:val="both"/>
        <w:rPr>
          <w:rFonts w:ascii="仿宋" w:hAnsi="仿宋" w:eastAsia="仿宋"/>
          <w:sz w:val="32"/>
          <w:szCs w:val="32"/>
          <w:lang w:eastAsia="zh-CN"/>
        </w:rPr>
      </w:pPr>
      <w:r>
        <w:rPr>
          <w:rFonts w:hint="eastAsia" w:ascii="仿宋" w:hAnsi="仿宋" w:eastAsia="仿宋"/>
          <w:sz w:val="32"/>
          <w:szCs w:val="32"/>
          <w:lang w:eastAsia="zh-CN"/>
        </w:rPr>
        <w:t>（四）采取单一来源采购的，公示结束后，</w:t>
      </w:r>
      <w:r>
        <w:rPr>
          <w:rFonts w:hint="eastAsia" w:ascii="仿宋" w:hAnsi="仿宋" w:eastAsia="仿宋"/>
          <w:sz w:val="32"/>
          <w:szCs w:val="32"/>
          <w:lang w:val="en-US" w:eastAsia="zh-CN"/>
        </w:rPr>
        <w:t>无</w:t>
      </w:r>
      <w:r>
        <w:rPr>
          <w:rFonts w:hint="eastAsia" w:ascii="仿宋" w:hAnsi="仿宋" w:eastAsia="仿宋"/>
          <w:sz w:val="32"/>
          <w:szCs w:val="32"/>
          <w:lang w:eastAsia="zh-CN"/>
        </w:rPr>
        <w:t>需再发布采购公告。</w:t>
      </w:r>
    </w:p>
    <w:p w14:paraId="022B3581">
      <w:pPr>
        <w:widowControl w:val="0"/>
        <w:kinsoku/>
        <w:snapToGrid/>
        <w:spacing w:line="560" w:lineRule="exact"/>
        <w:ind w:right="66" w:firstLine="643" w:firstLineChars="200"/>
        <w:jc w:val="both"/>
        <w:rPr>
          <w:rFonts w:ascii="仿宋" w:hAnsi="仿宋" w:eastAsia="仿宋"/>
          <w:sz w:val="32"/>
          <w:szCs w:val="32"/>
          <w:lang w:eastAsia="zh-CN"/>
        </w:rPr>
      </w:pPr>
      <w:r>
        <w:rPr>
          <w:rFonts w:hint="eastAsia" w:ascii="仿宋" w:hAnsi="仿宋" w:eastAsia="仿宋" w:cs="仿宋"/>
          <w:b/>
          <w:bCs/>
          <w:sz w:val="32"/>
          <w:szCs w:val="32"/>
          <w:lang w:eastAsia="zh-CN"/>
        </w:rPr>
        <w:t>第十三条</w:t>
      </w:r>
      <w:r>
        <w:rPr>
          <w:rFonts w:ascii="楷体" w:hAnsi="楷体" w:eastAsia="楷体" w:cs="楷体"/>
          <w:sz w:val="33"/>
          <w:szCs w:val="33"/>
          <w:lang w:eastAsia="zh-CN"/>
        </w:rPr>
        <w:t xml:space="preserve"> </w:t>
      </w:r>
      <w:r>
        <w:rPr>
          <w:rFonts w:hint="eastAsia" w:ascii="仿宋" w:hAnsi="仿宋" w:eastAsia="仿宋"/>
          <w:sz w:val="32"/>
          <w:szCs w:val="32"/>
          <w:lang w:eastAsia="zh-CN"/>
        </w:rPr>
        <w:t>采购评审。</w:t>
      </w:r>
    </w:p>
    <w:p w14:paraId="0F72B01E">
      <w:pPr>
        <w:widowControl w:val="0"/>
        <w:kinsoku/>
        <w:snapToGrid/>
        <w:spacing w:line="560" w:lineRule="exact"/>
        <w:ind w:right="66" w:firstLine="640" w:firstLineChars="200"/>
        <w:jc w:val="both"/>
        <w:rPr>
          <w:rFonts w:ascii="仿宋" w:hAnsi="仿宋" w:eastAsia="仿宋"/>
          <w:sz w:val="32"/>
          <w:szCs w:val="32"/>
          <w:lang w:eastAsia="zh-CN"/>
        </w:rPr>
      </w:pPr>
      <w:r>
        <w:rPr>
          <w:rFonts w:hint="eastAsia" w:ascii="仿宋" w:hAnsi="仿宋" w:eastAsia="仿宋"/>
          <w:sz w:val="32"/>
          <w:szCs w:val="32"/>
          <w:lang w:eastAsia="zh-CN"/>
        </w:rPr>
        <w:t>（一）成立评审小组。评审小组为三人以上单数，应包括采购工作组成员，负责项目的询价、谈判、协商等采购活动。项目单位还应指派专人或邀请归口管理部门负责全过程监督工作。</w:t>
      </w:r>
    </w:p>
    <w:p w14:paraId="14DD3C47">
      <w:pPr>
        <w:widowControl w:val="0"/>
        <w:kinsoku/>
        <w:snapToGrid/>
        <w:spacing w:line="560" w:lineRule="exact"/>
        <w:ind w:right="66" w:firstLine="640" w:firstLineChars="200"/>
        <w:jc w:val="both"/>
        <w:rPr>
          <w:rFonts w:ascii="仿宋" w:hAnsi="仿宋" w:eastAsia="仿宋"/>
          <w:sz w:val="32"/>
          <w:szCs w:val="32"/>
          <w:lang w:eastAsia="zh-CN"/>
        </w:rPr>
      </w:pPr>
      <w:r>
        <w:rPr>
          <w:rFonts w:hint="eastAsia" w:ascii="仿宋" w:hAnsi="仿宋" w:eastAsia="仿宋"/>
          <w:sz w:val="32"/>
          <w:szCs w:val="32"/>
          <w:lang w:eastAsia="zh-CN"/>
        </w:rPr>
        <w:t>评审小组应客观公正地履行以下职责：</w:t>
      </w:r>
    </w:p>
    <w:p w14:paraId="1B9F6F9B">
      <w:pPr>
        <w:widowControl w:val="0"/>
        <w:kinsoku/>
        <w:snapToGrid/>
        <w:spacing w:line="560" w:lineRule="exact"/>
        <w:ind w:right="66" w:firstLine="640" w:firstLineChars="200"/>
        <w:jc w:val="both"/>
        <w:rPr>
          <w:rFonts w:ascii="仿宋" w:hAnsi="仿宋" w:eastAsia="仿宋"/>
          <w:sz w:val="32"/>
          <w:szCs w:val="32"/>
          <w:lang w:eastAsia="zh-CN"/>
        </w:rPr>
      </w:pPr>
      <w:r>
        <w:rPr>
          <w:rFonts w:hint="eastAsia" w:ascii="仿宋" w:hAnsi="仿宋" w:eastAsia="仿宋"/>
          <w:sz w:val="32"/>
          <w:szCs w:val="32"/>
          <w:lang w:eastAsia="zh-CN"/>
        </w:rPr>
        <w:t>1.认真执行与招投标、政府采购有关的法律法规和学校的相关规定，维护学校和投标（响应）人的合法权益；</w:t>
      </w:r>
    </w:p>
    <w:p w14:paraId="4F0A3109">
      <w:pPr>
        <w:widowControl w:val="0"/>
        <w:kinsoku/>
        <w:snapToGrid/>
        <w:spacing w:line="560" w:lineRule="exact"/>
        <w:ind w:right="66" w:firstLine="640" w:firstLineChars="200"/>
        <w:jc w:val="both"/>
        <w:rPr>
          <w:rFonts w:ascii="仿宋" w:hAnsi="仿宋" w:eastAsia="仿宋"/>
          <w:sz w:val="32"/>
          <w:szCs w:val="32"/>
          <w:lang w:eastAsia="zh-CN"/>
        </w:rPr>
      </w:pPr>
      <w:r>
        <w:rPr>
          <w:rFonts w:hint="eastAsia" w:ascii="仿宋" w:hAnsi="仿宋" w:eastAsia="仿宋"/>
          <w:sz w:val="32"/>
          <w:szCs w:val="32"/>
          <w:lang w:eastAsia="zh-CN"/>
        </w:rPr>
        <w:t>2.按照采购文件规定的评审方法和评审标准进行评审，对评审意见承担个人责任；</w:t>
      </w:r>
    </w:p>
    <w:p w14:paraId="69FDBF10">
      <w:pPr>
        <w:widowControl w:val="0"/>
        <w:kinsoku/>
        <w:snapToGrid/>
        <w:spacing w:line="560" w:lineRule="exact"/>
        <w:ind w:right="66" w:firstLine="640" w:firstLineChars="200"/>
        <w:jc w:val="both"/>
        <w:rPr>
          <w:rFonts w:ascii="仿宋" w:hAnsi="仿宋" w:eastAsia="仿宋"/>
          <w:sz w:val="32"/>
          <w:szCs w:val="32"/>
          <w:lang w:eastAsia="zh-CN"/>
        </w:rPr>
      </w:pPr>
      <w:r>
        <w:rPr>
          <w:rFonts w:hint="eastAsia" w:ascii="仿宋" w:hAnsi="仿宋" w:eastAsia="仿宋"/>
          <w:sz w:val="32"/>
          <w:szCs w:val="32"/>
          <w:lang w:eastAsia="zh-CN"/>
        </w:rPr>
        <w:t>3.对评审过程和公示前的评审结果以及投标（响应）人的商业秘密保密；</w:t>
      </w:r>
    </w:p>
    <w:p w14:paraId="0B1CE9CE">
      <w:pPr>
        <w:widowControl w:val="0"/>
        <w:kinsoku/>
        <w:snapToGrid/>
        <w:spacing w:line="560" w:lineRule="exact"/>
        <w:ind w:right="66" w:firstLine="640" w:firstLineChars="200"/>
        <w:jc w:val="both"/>
        <w:rPr>
          <w:rFonts w:ascii="仿宋" w:hAnsi="仿宋" w:eastAsia="仿宋"/>
          <w:sz w:val="32"/>
          <w:szCs w:val="32"/>
          <w:lang w:eastAsia="zh-CN"/>
        </w:rPr>
      </w:pPr>
      <w:r>
        <w:rPr>
          <w:rFonts w:hint="eastAsia" w:ascii="仿宋" w:hAnsi="仿宋" w:eastAsia="仿宋"/>
          <w:sz w:val="32"/>
          <w:szCs w:val="32"/>
          <w:lang w:eastAsia="zh-CN"/>
        </w:rPr>
        <w:t>4.出具采购报告或意见；</w:t>
      </w:r>
    </w:p>
    <w:p w14:paraId="20A6C4E8">
      <w:pPr>
        <w:widowControl w:val="0"/>
        <w:kinsoku/>
        <w:snapToGrid/>
        <w:spacing w:line="560" w:lineRule="exact"/>
        <w:ind w:right="66" w:firstLine="640" w:firstLineChars="200"/>
        <w:jc w:val="both"/>
        <w:rPr>
          <w:rFonts w:ascii="仿宋" w:hAnsi="仿宋" w:eastAsia="仿宋"/>
          <w:sz w:val="32"/>
          <w:szCs w:val="32"/>
          <w:lang w:eastAsia="zh-CN"/>
        </w:rPr>
      </w:pPr>
      <w:r>
        <w:rPr>
          <w:rFonts w:hint="eastAsia" w:ascii="仿宋" w:hAnsi="仿宋" w:eastAsia="仿宋"/>
          <w:sz w:val="32"/>
          <w:szCs w:val="32"/>
          <w:lang w:eastAsia="zh-CN"/>
        </w:rPr>
        <w:t>5.处理投标（响应）人提出的质疑，参与投诉的调查。</w:t>
      </w:r>
    </w:p>
    <w:p w14:paraId="3B08E088">
      <w:pPr>
        <w:widowControl w:val="0"/>
        <w:kinsoku/>
        <w:snapToGrid/>
        <w:spacing w:line="560" w:lineRule="exact"/>
        <w:ind w:right="66" w:firstLine="640" w:firstLineChars="200"/>
        <w:jc w:val="both"/>
        <w:rPr>
          <w:rFonts w:ascii="仿宋" w:hAnsi="仿宋" w:eastAsia="仿宋"/>
          <w:sz w:val="32"/>
          <w:szCs w:val="32"/>
          <w:lang w:eastAsia="zh-CN"/>
        </w:rPr>
      </w:pPr>
      <w:r>
        <w:rPr>
          <w:rFonts w:hint="eastAsia" w:ascii="仿宋" w:hAnsi="仿宋" w:eastAsia="仿宋"/>
          <w:sz w:val="32"/>
          <w:szCs w:val="32"/>
          <w:lang w:eastAsia="zh-CN"/>
        </w:rPr>
        <w:t>（二）采购评审内容</w:t>
      </w:r>
    </w:p>
    <w:p w14:paraId="3C203B8F">
      <w:pPr>
        <w:widowControl w:val="0"/>
        <w:kinsoku/>
        <w:snapToGrid/>
        <w:spacing w:line="560" w:lineRule="exact"/>
        <w:ind w:right="68" w:firstLine="640" w:firstLineChars="200"/>
        <w:jc w:val="both"/>
        <w:rPr>
          <w:rFonts w:ascii="仿宋" w:hAnsi="仿宋" w:eastAsia="仿宋"/>
          <w:sz w:val="32"/>
          <w:szCs w:val="32"/>
          <w:lang w:eastAsia="zh-CN"/>
        </w:rPr>
      </w:pPr>
      <w:r>
        <w:rPr>
          <w:rFonts w:hint="eastAsia" w:ascii="仿宋" w:hAnsi="仿宋" w:eastAsia="仿宋"/>
          <w:sz w:val="32"/>
          <w:szCs w:val="32"/>
          <w:lang w:eastAsia="zh-CN"/>
        </w:rPr>
        <w:t>1.货物、服务项目评审内容主要包括项目质量、技术参数或服务方案、响应报价、供货或服务期限、质量保证、售后服务、同类项目业绩、社会信誉等。</w:t>
      </w:r>
    </w:p>
    <w:p w14:paraId="0E3AA49F">
      <w:pPr>
        <w:widowControl w:val="0"/>
        <w:kinsoku/>
        <w:snapToGrid/>
        <w:spacing w:line="560" w:lineRule="exact"/>
        <w:ind w:right="68" w:firstLine="640" w:firstLineChars="200"/>
        <w:jc w:val="both"/>
        <w:rPr>
          <w:rFonts w:ascii="仿宋" w:hAnsi="仿宋" w:eastAsia="仿宋"/>
          <w:sz w:val="32"/>
          <w:szCs w:val="32"/>
          <w:lang w:eastAsia="zh-CN"/>
        </w:rPr>
      </w:pPr>
      <w:r>
        <w:rPr>
          <w:rFonts w:hint="eastAsia" w:ascii="仿宋" w:hAnsi="仿宋" w:eastAsia="仿宋"/>
          <w:sz w:val="32"/>
          <w:szCs w:val="32"/>
          <w:lang w:eastAsia="zh-CN"/>
        </w:rPr>
        <w:t>2.工程项目评审内容主要包括报价、施工组织设计、项目管理机构、工期、工程质量目标、安全生产目标、文明施工等。</w:t>
      </w:r>
    </w:p>
    <w:p w14:paraId="39E8C182">
      <w:pPr>
        <w:widowControl w:val="0"/>
        <w:kinsoku/>
        <w:snapToGrid/>
        <w:spacing w:line="560" w:lineRule="exact"/>
        <w:ind w:right="68" w:firstLine="640" w:firstLineChars="200"/>
        <w:jc w:val="both"/>
        <w:rPr>
          <w:rFonts w:ascii="仿宋" w:hAnsi="仿宋" w:eastAsia="仿宋"/>
          <w:sz w:val="32"/>
          <w:szCs w:val="32"/>
          <w:lang w:eastAsia="zh-CN"/>
        </w:rPr>
      </w:pPr>
      <w:r>
        <w:rPr>
          <w:rFonts w:hint="eastAsia" w:ascii="仿宋" w:hAnsi="仿宋" w:eastAsia="仿宋"/>
          <w:sz w:val="32"/>
          <w:szCs w:val="32"/>
          <w:lang w:eastAsia="zh-CN"/>
        </w:rPr>
        <w:t>3.评审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DF957E2">
      <w:pPr>
        <w:widowControl w:val="0"/>
        <w:kinsoku/>
        <w:snapToGrid/>
        <w:spacing w:line="560" w:lineRule="exact"/>
        <w:ind w:right="68" w:firstLine="640" w:firstLineChars="200"/>
        <w:jc w:val="both"/>
        <w:rPr>
          <w:rFonts w:ascii="仿宋" w:hAnsi="仿宋" w:eastAsia="仿宋"/>
          <w:sz w:val="32"/>
          <w:szCs w:val="32"/>
          <w:highlight w:val="none"/>
          <w:lang w:eastAsia="zh-CN"/>
        </w:rPr>
      </w:pPr>
      <w:r>
        <w:rPr>
          <w:rFonts w:hint="eastAsia" w:ascii="仿宋" w:hAnsi="仿宋" w:eastAsia="仿宋"/>
          <w:sz w:val="32"/>
          <w:szCs w:val="32"/>
          <w:lang w:eastAsia="zh-CN"/>
        </w:rPr>
        <w:t>（三）采购评审</w:t>
      </w:r>
      <w:r>
        <w:rPr>
          <w:rFonts w:hint="eastAsia" w:ascii="仿宋" w:hAnsi="仿宋" w:eastAsia="仿宋"/>
          <w:sz w:val="32"/>
          <w:szCs w:val="32"/>
          <w:highlight w:val="none"/>
          <w:lang w:eastAsia="zh-CN"/>
        </w:rPr>
        <w:t>方式的适用</w:t>
      </w:r>
    </w:p>
    <w:p w14:paraId="78A2E6C5">
      <w:pPr>
        <w:widowControl w:val="0"/>
        <w:kinsoku/>
        <w:snapToGrid/>
        <w:spacing w:line="560" w:lineRule="exact"/>
        <w:ind w:right="68" w:firstLine="640" w:firstLineChars="200"/>
        <w:jc w:val="both"/>
        <w:rPr>
          <w:rFonts w:ascii="仿宋" w:hAnsi="仿宋" w:eastAsia="仿宋"/>
          <w:sz w:val="32"/>
          <w:szCs w:val="32"/>
          <w:lang w:eastAsia="zh-CN"/>
        </w:rPr>
      </w:pPr>
      <w:r>
        <w:rPr>
          <w:rFonts w:hint="eastAsia" w:ascii="仿宋" w:hAnsi="仿宋" w:eastAsia="仿宋"/>
          <w:sz w:val="32"/>
          <w:szCs w:val="32"/>
          <w:highlight w:val="none"/>
          <w:lang w:eastAsia="zh-CN"/>
        </w:rPr>
        <w:t>1.采用询价方式采购的，评审小组在询价过程中，不得改变询价通知书所确定的技术和服务等要求、评审程序、评定成交的标准和合同文本等事项</w:t>
      </w:r>
      <w:r>
        <w:rPr>
          <w:rFonts w:hint="eastAsia" w:ascii="仿宋" w:hAnsi="仿宋" w:eastAsia="仿宋"/>
          <w:sz w:val="32"/>
          <w:szCs w:val="32"/>
          <w:lang w:eastAsia="zh-CN"/>
        </w:rPr>
        <w:t>。经过评审，根据质量和服务均能满足采购文件实质性响应要求且报价最低的原则确定成交供应商。</w:t>
      </w:r>
    </w:p>
    <w:p w14:paraId="7B33410C">
      <w:pPr>
        <w:widowControl w:val="0"/>
        <w:kinsoku/>
        <w:snapToGrid/>
        <w:spacing w:line="560" w:lineRule="exact"/>
        <w:ind w:right="68" w:firstLine="640" w:firstLineChars="200"/>
        <w:jc w:val="both"/>
        <w:rPr>
          <w:rFonts w:ascii="仿宋" w:hAnsi="仿宋" w:eastAsia="仿宋"/>
          <w:sz w:val="32"/>
          <w:szCs w:val="32"/>
          <w:lang w:eastAsia="zh-CN"/>
        </w:rPr>
      </w:pPr>
      <w:r>
        <w:rPr>
          <w:rFonts w:hint="eastAsia" w:ascii="仿宋" w:hAnsi="仿宋" w:eastAsia="仿宋"/>
          <w:sz w:val="32"/>
          <w:szCs w:val="32"/>
          <w:lang w:eastAsia="zh-CN"/>
        </w:rPr>
        <w:t>2.采用竞争性谈判方式采购的，评审小组对响应文件进行评审并与实质性响应谈判文件要求的供应商进行谈判后，若对采购需求中的技术、服务要求以及合同草案条款等有实质性变动的，应以书面形式通知所有参加谈判的供应商。谈判结束后，应要求所有参加谈判的供应商，在规定的时间内进行二次以上报价。根据质量和服务均能满足采购文件实质性响应要求且最后报价最低的原则确定成交供应商。</w:t>
      </w:r>
    </w:p>
    <w:p w14:paraId="536780B2">
      <w:pPr>
        <w:widowControl w:val="0"/>
        <w:kinsoku/>
        <w:snapToGrid/>
        <w:spacing w:line="560" w:lineRule="exact"/>
        <w:ind w:right="68" w:firstLine="640" w:firstLineChars="200"/>
        <w:jc w:val="both"/>
        <w:rPr>
          <w:rFonts w:ascii="仿宋" w:hAnsi="仿宋" w:eastAsia="仿宋"/>
          <w:sz w:val="32"/>
          <w:szCs w:val="32"/>
          <w:lang w:eastAsia="zh-CN"/>
        </w:rPr>
      </w:pPr>
      <w:r>
        <w:rPr>
          <w:rFonts w:hint="eastAsia" w:ascii="仿宋" w:hAnsi="仿宋" w:eastAsia="仿宋"/>
          <w:sz w:val="32"/>
          <w:szCs w:val="32"/>
          <w:lang w:eastAsia="zh-CN"/>
        </w:rPr>
        <w:t>3.采用单一来源采购方式采购的，评审小组与供应商协商，商定合理的成交价格并保证采购项目质量。</w:t>
      </w:r>
    </w:p>
    <w:p w14:paraId="772EA95E">
      <w:pPr>
        <w:widowControl w:val="0"/>
        <w:kinsoku/>
        <w:snapToGrid/>
        <w:spacing w:line="560" w:lineRule="exact"/>
        <w:ind w:right="68" w:firstLine="640" w:firstLineChars="200"/>
        <w:jc w:val="both"/>
        <w:rPr>
          <w:rFonts w:ascii="仿宋" w:hAnsi="仿宋" w:eastAsia="仿宋"/>
          <w:sz w:val="32"/>
          <w:szCs w:val="32"/>
          <w:lang w:eastAsia="zh-CN"/>
        </w:rPr>
      </w:pPr>
      <w:r>
        <w:rPr>
          <w:rFonts w:hint="eastAsia" w:ascii="仿宋" w:hAnsi="仿宋" w:eastAsia="仿宋"/>
          <w:sz w:val="32"/>
          <w:szCs w:val="32"/>
          <w:lang w:eastAsia="zh-CN"/>
        </w:rPr>
        <w:t>4.采用公开比选方式采购的，评审小组按照评审标准推荐成交候选人。评审小组在比选过程中，比选文件应明确技术和服务等要求、评审程序、评定成交的标准、打分办法和合同文本等事项。经过评审，根据综合得分最高的原则确定成交供应商。</w:t>
      </w:r>
    </w:p>
    <w:p w14:paraId="4C9AB4C2">
      <w:pPr>
        <w:widowControl w:val="0"/>
        <w:kinsoku/>
        <w:snapToGrid/>
        <w:spacing w:line="560" w:lineRule="exact"/>
        <w:ind w:right="68" w:firstLine="640" w:firstLineChars="200"/>
        <w:jc w:val="both"/>
        <w:rPr>
          <w:rFonts w:ascii="仿宋" w:hAnsi="仿宋" w:eastAsia="仿宋"/>
          <w:color w:val="auto"/>
          <w:sz w:val="32"/>
          <w:szCs w:val="32"/>
          <w:highlight w:val="none"/>
          <w:lang w:eastAsia="zh-CN"/>
        </w:rPr>
      </w:pPr>
      <w:r>
        <w:rPr>
          <w:rFonts w:hint="eastAsia" w:ascii="仿宋" w:hAnsi="仿宋" w:eastAsia="仿宋"/>
          <w:sz w:val="32"/>
          <w:szCs w:val="32"/>
          <w:lang w:eastAsia="zh-CN"/>
        </w:rPr>
        <w:t>5.采用市场比选方式采购的，评审小组通过市场考察、电话咨询、网</w:t>
      </w:r>
      <w:r>
        <w:rPr>
          <w:rFonts w:hint="eastAsia" w:ascii="仿宋" w:hAnsi="仿宋" w:eastAsia="仿宋"/>
          <w:color w:val="auto"/>
          <w:sz w:val="32"/>
          <w:szCs w:val="32"/>
          <w:lang w:eastAsia="zh-CN"/>
        </w:rPr>
        <w:t>上比价、</w:t>
      </w:r>
      <w:r>
        <w:rPr>
          <w:rFonts w:hint="eastAsia" w:ascii="仿宋" w:hAnsi="仿宋" w:eastAsia="仿宋"/>
          <w:color w:val="auto"/>
          <w:sz w:val="32"/>
          <w:szCs w:val="32"/>
          <w:highlight w:val="none"/>
          <w:lang w:eastAsia="zh-CN"/>
        </w:rPr>
        <w:t>现场询价等方式，坚持货比三家、信誉可靠、质量第一、价格合理的原则，择优确定成交供应商。</w:t>
      </w:r>
    </w:p>
    <w:p w14:paraId="17574A1C">
      <w:pPr>
        <w:widowControl w:val="0"/>
        <w:kinsoku/>
        <w:snapToGrid/>
        <w:spacing w:line="560" w:lineRule="exact"/>
        <w:ind w:right="66" w:firstLine="643" w:firstLineChars="200"/>
        <w:jc w:val="both"/>
        <w:rPr>
          <w:rFonts w:ascii="仿宋" w:hAnsi="仿宋" w:eastAsia="仿宋"/>
          <w:color w:val="auto"/>
          <w:sz w:val="32"/>
          <w:szCs w:val="32"/>
          <w:highlight w:val="none"/>
          <w:lang w:eastAsia="zh-CN"/>
        </w:rPr>
      </w:pPr>
      <w:r>
        <w:rPr>
          <w:rFonts w:hint="eastAsia" w:ascii="仿宋" w:hAnsi="仿宋" w:eastAsia="仿宋" w:cs="仿宋"/>
          <w:b/>
          <w:bCs/>
          <w:color w:val="auto"/>
          <w:sz w:val="32"/>
          <w:szCs w:val="32"/>
          <w:highlight w:val="none"/>
          <w:lang w:eastAsia="zh-CN"/>
        </w:rPr>
        <w:t>第十四条</w:t>
      </w:r>
      <w:r>
        <w:rPr>
          <w:rFonts w:hint="eastAsia" w:ascii="仿宋" w:hAnsi="仿宋" w:eastAsia="仿宋"/>
          <w:color w:val="auto"/>
          <w:sz w:val="32"/>
          <w:szCs w:val="32"/>
          <w:highlight w:val="none"/>
          <w:lang w:eastAsia="zh-CN"/>
        </w:rPr>
        <w:t xml:space="preserve"> 采购终止</w:t>
      </w:r>
    </w:p>
    <w:p w14:paraId="38793ADD">
      <w:pPr>
        <w:widowControl w:val="0"/>
        <w:kinsoku/>
        <w:snapToGrid/>
        <w:spacing w:line="560" w:lineRule="exact"/>
        <w:ind w:right="66" w:firstLine="640" w:firstLineChars="200"/>
        <w:jc w:val="both"/>
        <w:rPr>
          <w:rFonts w:ascii="仿宋" w:hAnsi="仿宋" w:eastAsia="仿宋"/>
          <w:color w:val="auto"/>
          <w:sz w:val="32"/>
          <w:szCs w:val="32"/>
          <w:highlight w:val="none"/>
          <w:lang w:eastAsia="zh-CN"/>
        </w:rPr>
      </w:pPr>
      <w:r>
        <w:rPr>
          <w:rFonts w:hint="eastAsia" w:ascii="仿宋" w:hAnsi="仿宋" w:eastAsia="仿宋"/>
          <w:color w:val="auto"/>
          <w:sz w:val="32"/>
          <w:szCs w:val="32"/>
          <w:highlight w:val="none"/>
          <w:lang w:eastAsia="zh-CN"/>
        </w:rPr>
        <w:t>在采购中，出现下列情形之一的，应当终止采购活动：</w:t>
      </w:r>
    </w:p>
    <w:p w14:paraId="5BAD4B93">
      <w:pPr>
        <w:widowControl w:val="0"/>
        <w:kinsoku/>
        <w:snapToGrid/>
        <w:spacing w:line="560" w:lineRule="exact"/>
        <w:ind w:right="66" w:firstLine="640" w:firstLineChars="200"/>
        <w:jc w:val="both"/>
        <w:rPr>
          <w:rFonts w:ascii="仿宋" w:hAnsi="仿宋" w:eastAsia="仿宋"/>
          <w:color w:val="auto"/>
          <w:sz w:val="32"/>
          <w:szCs w:val="32"/>
          <w:highlight w:val="none"/>
          <w:lang w:eastAsia="zh-CN"/>
        </w:rPr>
      </w:pPr>
      <w:r>
        <w:rPr>
          <w:rFonts w:hint="eastAsia" w:ascii="仿宋" w:hAnsi="仿宋" w:eastAsia="仿宋"/>
          <w:color w:val="auto"/>
          <w:sz w:val="32"/>
          <w:szCs w:val="32"/>
          <w:highlight w:val="none"/>
          <w:lang w:eastAsia="zh-CN"/>
        </w:rPr>
        <w:t>（一）符合资格条件的供应商或者对采购文件作实质响应的供应商不足三家的（政府采购法律法规规定的特殊情况除外）；</w:t>
      </w:r>
    </w:p>
    <w:p w14:paraId="7560317E">
      <w:pPr>
        <w:widowControl w:val="0"/>
        <w:kinsoku/>
        <w:snapToGrid/>
        <w:spacing w:line="560" w:lineRule="exact"/>
        <w:ind w:right="66" w:firstLine="640" w:firstLineChars="200"/>
        <w:jc w:val="both"/>
        <w:rPr>
          <w:rFonts w:ascii="仿宋" w:hAnsi="仿宋" w:eastAsia="仿宋"/>
          <w:color w:val="auto"/>
          <w:sz w:val="32"/>
          <w:szCs w:val="32"/>
          <w:highlight w:val="none"/>
          <w:lang w:eastAsia="zh-CN"/>
        </w:rPr>
      </w:pPr>
      <w:r>
        <w:rPr>
          <w:rFonts w:hint="eastAsia" w:ascii="仿宋" w:hAnsi="仿宋" w:eastAsia="仿宋"/>
          <w:color w:val="auto"/>
          <w:sz w:val="32"/>
          <w:szCs w:val="32"/>
          <w:highlight w:val="none"/>
          <w:lang w:eastAsia="zh-CN"/>
        </w:rPr>
        <w:t>（二）出现影响采购公正的违法、违规行为的；</w:t>
      </w:r>
    </w:p>
    <w:p w14:paraId="29E4CE77">
      <w:pPr>
        <w:widowControl w:val="0"/>
        <w:kinsoku/>
        <w:snapToGrid/>
        <w:spacing w:line="560" w:lineRule="exact"/>
        <w:ind w:right="66" w:firstLine="640" w:firstLineChars="200"/>
        <w:jc w:val="both"/>
        <w:rPr>
          <w:rFonts w:ascii="仿宋" w:hAnsi="仿宋" w:eastAsia="仿宋"/>
          <w:color w:val="auto"/>
          <w:sz w:val="32"/>
          <w:szCs w:val="32"/>
          <w:highlight w:val="none"/>
          <w:lang w:eastAsia="zh-CN"/>
        </w:rPr>
      </w:pPr>
      <w:r>
        <w:rPr>
          <w:rFonts w:hint="eastAsia" w:ascii="仿宋" w:hAnsi="仿宋" w:eastAsia="仿宋"/>
          <w:color w:val="auto"/>
          <w:sz w:val="32"/>
          <w:szCs w:val="32"/>
          <w:highlight w:val="none"/>
          <w:lang w:eastAsia="zh-CN"/>
        </w:rPr>
        <w:t>（三）采购过程中符合要求的供应商或者报价未超过采购预算的供应商不足3家的；</w:t>
      </w:r>
    </w:p>
    <w:p w14:paraId="44C0CDC5">
      <w:pPr>
        <w:widowControl w:val="0"/>
        <w:kinsoku/>
        <w:snapToGrid/>
        <w:spacing w:line="560" w:lineRule="exact"/>
        <w:ind w:right="66" w:firstLine="640" w:firstLineChars="200"/>
        <w:jc w:val="both"/>
        <w:rPr>
          <w:rFonts w:ascii="仿宋" w:hAnsi="仿宋" w:eastAsia="仿宋"/>
          <w:color w:val="auto"/>
          <w:sz w:val="32"/>
          <w:szCs w:val="32"/>
          <w:highlight w:val="none"/>
          <w:lang w:eastAsia="zh-CN"/>
        </w:rPr>
      </w:pPr>
      <w:r>
        <w:rPr>
          <w:rFonts w:hint="eastAsia" w:ascii="仿宋" w:hAnsi="仿宋" w:eastAsia="仿宋"/>
          <w:color w:val="auto"/>
          <w:sz w:val="32"/>
          <w:szCs w:val="32"/>
          <w:highlight w:val="none"/>
          <w:lang w:eastAsia="zh-CN"/>
        </w:rPr>
        <w:t>（四）因重大变故，采购任务取消的。</w:t>
      </w:r>
    </w:p>
    <w:p w14:paraId="0BAE4408">
      <w:pPr>
        <w:widowControl w:val="0"/>
        <w:kinsoku/>
        <w:snapToGrid/>
        <w:spacing w:line="560" w:lineRule="exact"/>
        <w:ind w:right="66" w:firstLine="643" w:firstLineChars="200"/>
        <w:jc w:val="both"/>
        <w:rPr>
          <w:rFonts w:ascii="仿宋" w:hAnsi="仿宋" w:eastAsia="仿宋"/>
          <w:color w:val="auto"/>
          <w:sz w:val="32"/>
          <w:szCs w:val="32"/>
          <w:highlight w:val="none"/>
          <w:lang w:eastAsia="zh-CN"/>
        </w:rPr>
      </w:pPr>
      <w:r>
        <w:rPr>
          <w:rFonts w:hint="eastAsia" w:ascii="仿宋" w:hAnsi="仿宋" w:eastAsia="仿宋" w:cs="仿宋"/>
          <w:b/>
          <w:bCs/>
          <w:color w:val="auto"/>
          <w:sz w:val="32"/>
          <w:szCs w:val="32"/>
          <w:highlight w:val="none"/>
          <w:lang w:eastAsia="zh-CN"/>
        </w:rPr>
        <w:t>第十五条</w:t>
      </w:r>
      <w:r>
        <w:rPr>
          <w:rFonts w:hint="eastAsia" w:ascii="仿宋" w:hAnsi="仿宋" w:eastAsia="仿宋"/>
          <w:color w:val="auto"/>
          <w:sz w:val="32"/>
          <w:szCs w:val="32"/>
          <w:highlight w:val="none"/>
          <w:lang w:eastAsia="zh-CN"/>
        </w:rPr>
        <w:t xml:space="preserve">  采购过程终止的，在原公告发布媒体上发布废标终止公告并说明原因。废标后，除采购任务取消外，应在学校财务部门资金落实的情况下,重新组织采购活动。</w:t>
      </w:r>
    </w:p>
    <w:p w14:paraId="3AA0C34A">
      <w:pPr>
        <w:widowControl w:val="0"/>
        <w:kinsoku/>
        <w:snapToGrid/>
        <w:spacing w:line="560" w:lineRule="exact"/>
        <w:ind w:right="66" w:firstLine="643" w:firstLineChars="200"/>
        <w:jc w:val="both"/>
        <w:rPr>
          <w:rFonts w:hint="eastAsia" w:ascii="仿宋" w:hAnsi="仿宋" w:eastAsia="仿宋"/>
          <w:color w:val="auto"/>
          <w:sz w:val="32"/>
          <w:szCs w:val="32"/>
          <w:highlight w:val="none"/>
          <w:lang w:eastAsia="zh-CN"/>
        </w:rPr>
      </w:pPr>
      <w:r>
        <w:rPr>
          <w:rFonts w:hint="eastAsia" w:ascii="仿宋" w:hAnsi="仿宋" w:eastAsia="仿宋" w:cs="仿宋"/>
          <w:b/>
          <w:bCs/>
          <w:color w:val="auto"/>
          <w:sz w:val="32"/>
          <w:szCs w:val="32"/>
          <w:highlight w:val="none"/>
          <w:lang w:eastAsia="zh-CN"/>
        </w:rPr>
        <w:t>第十六条</w:t>
      </w:r>
      <w:r>
        <w:rPr>
          <w:rFonts w:hint="eastAsia" w:ascii="仿宋" w:hAnsi="仿宋" w:eastAsia="仿宋"/>
          <w:color w:val="auto"/>
          <w:sz w:val="32"/>
          <w:szCs w:val="32"/>
          <w:highlight w:val="none"/>
          <w:lang w:eastAsia="zh-CN"/>
        </w:rPr>
        <w:t xml:space="preserve">  经过两次采购皆出现终止的项目，由项目单位重新调研、论证或申请变更采购方式。</w:t>
      </w:r>
    </w:p>
    <w:p w14:paraId="56BB9962">
      <w:pPr>
        <w:widowControl w:val="0"/>
        <w:kinsoku/>
        <w:snapToGrid/>
        <w:spacing w:line="560" w:lineRule="exact"/>
        <w:ind w:right="66" w:firstLine="643" w:firstLineChars="200"/>
        <w:jc w:val="both"/>
        <w:rPr>
          <w:rFonts w:ascii="仿宋" w:hAnsi="仿宋" w:eastAsia="仿宋"/>
          <w:color w:val="auto"/>
          <w:sz w:val="32"/>
          <w:szCs w:val="32"/>
          <w:highlight w:val="none"/>
          <w:lang w:eastAsia="zh-CN"/>
        </w:rPr>
      </w:pPr>
      <w:r>
        <w:rPr>
          <w:rFonts w:hint="eastAsia" w:ascii="仿宋" w:hAnsi="仿宋" w:eastAsia="仿宋" w:cs="仿宋"/>
          <w:b/>
          <w:bCs/>
          <w:color w:val="auto"/>
          <w:sz w:val="32"/>
          <w:szCs w:val="32"/>
          <w:highlight w:val="none"/>
          <w:lang w:eastAsia="zh-CN"/>
        </w:rPr>
        <w:t>第十七条</w:t>
      </w:r>
      <w:r>
        <w:rPr>
          <w:rFonts w:ascii="楷体" w:hAnsi="楷体" w:eastAsia="楷体" w:cs="楷体"/>
          <w:color w:val="auto"/>
          <w:sz w:val="33"/>
          <w:szCs w:val="33"/>
          <w:highlight w:val="none"/>
          <w:lang w:eastAsia="zh-CN"/>
        </w:rPr>
        <w:t xml:space="preserve"> </w:t>
      </w:r>
      <w:r>
        <w:rPr>
          <w:rFonts w:hint="eastAsia" w:ascii="仿宋" w:hAnsi="仿宋" w:eastAsia="仿宋"/>
          <w:color w:val="auto"/>
          <w:sz w:val="32"/>
          <w:szCs w:val="32"/>
          <w:highlight w:val="none"/>
          <w:lang w:eastAsia="zh-CN"/>
        </w:rPr>
        <w:t>采购公示及结果确定</w:t>
      </w:r>
    </w:p>
    <w:p w14:paraId="26F09D64">
      <w:pPr>
        <w:widowControl w:val="0"/>
        <w:kinsoku/>
        <w:snapToGrid/>
        <w:spacing w:line="560" w:lineRule="exact"/>
        <w:ind w:right="66" w:firstLine="640" w:firstLineChars="200"/>
        <w:jc w:val="both"/>
        <w:rPr>
          <w:rFonts w:ascii="仿宋" w:hAnsi="仿宋" w:eastAsia="仿宋"/>
          <w:color w:val="auto"/>
          <w:sz w:val="32"/>
          <w:szCs w:val="32"/>
          <w:highlight w:val="none"/>
          <w:lang w:eastAsia="zh-CN"/>
        </w:rPr>
      </w:pPr>
      <w:r>
        <w:rPr>
          <w:rFonts w:hint="eastAsia" w:ascii="仿宋" w:hAnsi="仿宋" w:eastAsia="仿宋"/>
          <w:color w:val="auto"/>
          <w:sz w:val="32"/>
          <w:szCs w:val="32"/>
          <w:highlight w:val="none"/>
          <w:lang w:eastAsia="zh-CN"/>
        </w:rPr>
        <w:t>（一）除市场比选方式以外的采购项目，应在采购评审结束后</w:t>
      </w:r>
      <w:r>
        <w:rPr>
          <w:rFonts w:ascii="仿宋" w:hAnsi="仿宋" w:eastAsia="仿宋"/>
          <w:color w:val="auto"/>
          <w:sz w:val="32"/>
          <w:szCs w:val="32"/>
          <w:highlight w:val="none"/>
          <w:lang w:eastAsia="zh-CN"/>
        </w:rPr>
        <w:t>5</w:t>
      </w:r>
      <w:r>
        <w:rPr>
          <w:rFonts w:hint="eastAsia" w:ascii="仿宋" w:hAnsi="仿宋" w:eastAsia="仿宋"/>
          <w:color w:val="auto"/>
          <w:sz w:val="32"/>
          <w:szCs w:val="32"/>
          <w:highlight w:val="none"/>
          <w:lang w:eastAsia="zh-CN"/>
        </w:rPr>
        <w:t>个工作日内发布采购结果公告。</w:t>
      </w:r>
    </w:p>
    <w:p w14:paraId="34FF529C">
      <w:pPr>
        <w:widowControl w:val="0"/>
        <w:kinsoku/>
        <w:snapToGrid/>
        <w:spacing w:line="560" w:lineRule="exact"/>
        <w:ind w:right="66" w:firstLine="640" w:firstLineChars="200"/>
        <w:jc w:val="both"/>
        <w:rPr>
          <w:rFonts w:ascii="仿宋" w:hAnsi="仿宋" w:eastAsia="仿宋"/>
          <w:color w:val="auto"/>
          <w:sz w:val="32"/>
          <w:szCs w:val="32"/>
          <w:highlight w:val="none"/>
          <w:lang w:eastAsia="zh-CN"/>
        </w:rPr>
      </w:pPr>
      <w:r>
        <w:rPr>
          <w:rFonts w:hint="eastAsia" w:ascii="仿宋" w:hAnsi="仿宋" w:eastAsia="仿宋"/>
          <w:color w:val="auto"/>
          <w:sz w:val="32"/>
          <w:szCs w:val="32"/>
          <w:highlight w:val="none"/>
          <w:lang w:eastAsia="zh-CN"/>
        </w:rPr>
        <w:t>（二）评审小组确定成交供应商，做好评审记录，出具分散采购项目评审报告,并通过申报系统上传备案。</w:t>
      </w:r>
    </w:p>
    <w:p w14:paraId="3739BB46">
      <w:pPr>
        <w:widowControl w:val="0"/>
        <w:kinsoku/>
        <w:snapToGrid/>
        <w:spacing w:line="560" w:lineRule="exact"/>
        <w:ind w:right="66" w:firstLine="640" w:firstLineChars="200"/>
        <w:jc w:val="both"/>
        <w:rPr>
          <w:rFonts w:ascii="仿宋" w:hAnsi="仿宋" w:eastAsia="仿宋"/>
          <w:color w:val="auto"/>
          <w:sz w:val="32"/>
          <w:szCs w:val="32"/>
          <w:highlight w:val="none"/>
          <w:lang w:eastAsia="zh-CN"/>
        </w:rPr>
      </w:pPr>
      <w:r>
        <w:rPr>
          <w:rFonts w:hint="eastAsia" w:ascii="仿宋" w:hAnsi="仿宋" w:eastAsia="仿宋"/>
          <w:color w:val="auto"/>
          <w:sz w:val="32"/>
          <w:szCs w:val="32"/>
          <w:highlight w:val="none"/>
          <w:lang w:eastAsia="zh-CN"/>
        </w:rPr>
        <w:t>（三）项目单位应将成交结果公示，告知参与本次采购的所有供应商，并按规定对供应商的询问、质疑作出答复。</w:t>
      </w:r>
    </w:p>
    <w:p w14:paraId="79D6F9DB">
      <w:pPr>
        <w:widowControl w:val="0"/>
        <w:kinsoku/>
        <w:snapToGrid/>
        <w:spacing w:line="560" w:lineRule="exact"/>
        <w:ind w:right="66" w:firstLine="643" w:firstLineChars="200"/>
        <w:jc w:val="both"/>
        <w:rPr>
          <w:rFonts w:ascii="仿宋" w:hAnsi="仿宋" w:eastAsia="仿宋"/>
          <w:color w:val="auto"/>
          <w:sz w:val="32"/>
          <w:szCs w:val="32"/>
          <w:highlight w:val="none"/>
          <w:lang w:eastAsia="zh-CN"/>
        </w:rPr>
      </w:pPr>
      <w:r>
        <w:rPr>
          <w:rFonts w:hint="eastAsia" w:ascii="仿宋" w:hAnsi="仿宋" w:eastAsia="仿宋" w:cs="仿宋"/>
          <w:b/>
          <w:bCs/>
          <w:color w:val="auto"/>
          <w:sz w:val="32"/>
          <w:szCs w:val="32"/>
          <w:highlight w:val="none"/>
          <w:lang w:eastAsia="zh-CN"/>
        </w:rPr>
        <w:t>第十八条</w:t>
      </w:r>
      <w:r>
        <w:rPr>
          <w:rFonts w:hint="eastAsia" w:ascii="仿宋" w:hAnsi="仿宋" w:eastAsia="仿宋"/>
          <w:color w:val="auto"/>
          <w:sz w:val="32"/>
          <w:szCs w:val="32"/>
          <w:highlight w:val="none"/>
          <w:lang w:eastAsia="zh-CN"/>
        </w:rPr>
        <w:t xml:space="preserve"> 合同办理及备案。确定成交供应商后，项目单位应根据采购文件及响应文件，参照学校合同管理办法签订合同。签订完毕后，将分散采购项目评审报告、合同扫描件上传采购管理系统进行合同备案。</w:t>
      </w:r>
    </w:p>
    <w:p w14:paraId="2750DE5D">
      <w:pPr>
        <w:widowControl w:val="0"/>
        <w:kinsoku/>
        <w:snapToGrid/>
        <w:spacing w:line="560" w:lineRule="exact"/>
        <w:ind w:left="30" w:right="180" w:firstLine="643" w:firstLineChars="200"/>
        <w:jc w:val="both"/>
        <w:rPr>
          <w:rFonts w:ascii="仿宋" w:hAnsi="仿宋" w:eastAsia="仿宋"/>
          <w:color w:val="auto"/>
          <w:sz w:val="32"/>
          <w:szCs w:val="32"/>
          <w:highlight w:val="none"/>
          <w:lang w:eastAsia="zh-CN"/>
        </w:rPr>
      </w:pPr>
      <w:r>
        <w:rPr>
          <w:rFonts w:hint="eastAsia" w:ascii="仿宋" w:hAnsi="仿宋" w:eastAsia="仿宋" w:cs="仿宋"/>
          <w:b/>
          <w:bCs/>
          <w:color w:val="auto"/>
          <w:sz w:val="32"/>
          <w:szCs w:val="32"/>
          <w:highlight w:val="none"/>
          <w:lang w:eastAsia="zh-CN"/>
        </w:rPr>
        <w:t>第十九条</w:t>
      </w:r>
      <w:r>
        <w:rPr>
          <w:rFonts w:ascii="楷体" w:hAnsi="楷体" w:eastAsia="楷体" w:cs="楷体"/>
          <w:color w:val="auto"/>
          <w:sz w:val="32"/>
          <w:szCs w:val="32"/>
          <w:highlight w:val="none"/>
          <w:lang w:eastAsia="zh-CN"/>
        </w:rPr>
        <w:t xml:space="preserve"> </w:t>
      </w:r>
      <w:r>
        <w:rPr>
          <w:rFonts w:hint="eastAsia" w:ascii="仿宋" w:hAnsi="仿宋" w:eastAsia="仿宋"/>
          <w:color w:val="auto"/>
          <w:sz w:val="32"/>
          <w:szCs w:val="32"/>
          <w:highlight w:val="none"/>
          <w:lang w:eastAsia="zh-CN"/>
        </w:rPr>
        <w:t>履约验收。项目单位按《新乡医学院验收管理办法》组织履约验收，</w:t>
      </w:r>
      <w:r>
        <w:rPr>
          <w:rFonts w:hint="eastAsia" w:ascii="Times New Roman" w:hAnsi="Times New Roman" w:eastAsia="仿宋" w:cs="Times New Roman"/>
          <w:color w:val="auto"/>
          <w:sz w:val="32"/>
          <w:szCs w:val="32"/>
          <w:highlight w:val="none"/>
          <w:lang w:eastAsia="zh-CN"/>
        </w:rPr>
        <w:t>对违反诚实信用原则、履约不良的供应商，应及时</w:t>
      </w:r>
      <w:r>
        <w:rPr>
          <w:rFonts w:ascii="Times New Roman" w:hAnsi="Times New Roman" w:eastAsia="仿宋" w:cs="Times New Roman"/>
          <w:color w:val="auto"/>
          <w:sz w:val="32"/>
          <w:szCs w:val="32"/>
          <w:highlight w:val="none"/>
          <w:lang w:eastAsia="zh-CN"/>
        </w:rPr>
        <w:t>反馈</w:t>
      </w:r>
      <w:r>
        <w:rPr>
          <w:rFonts w:hint="eastAsia" w:ascii="Times New Roman" w:hAnsi="Times New Roman" w:eastAsia="仿宋" w:cs="Times New Roman"/>
          <w:color w:val="auto"/>
          <w:sz w:val="32"/>
          <w:szCs w:val="32"/>
          <w:highlight w:val="none"/>
          <w:lang w:eastAsia="zh-CN"/>
        </w:rPr>
        <w:t>至学校采购部门</w:t>
      </w:r>
      <w:r>
        <w:rPr>
          <w:rFonts w:hint="eastAsia" w:ascii="仿宋" w:hAnsi="仿宋" w:eastAsia="仿宋"/>
          <w:color w:val="auto"/>
          <w:sz w:val="32"/>
          <w:szCs w:val="32"/>
          <w:highlight w:val="none"/>
          <w:lang w:eastAsia="zh-CN"/>
        </w:rPr>
        <w:t>。</w:t>
      </w:r>
    </w:p>
    <w:p w14:paraId="1CE4CD6D">
      <w:pPr>
        <w:widowControl w:val="0"/>
        <w:kinsoku/>
        <w:snapToGrid/>
        <w:spacing w:line="560" w:lineRule="exact"/>
        <w:ind w:left="30" w:right="180" w:firstLine="643" w:firstLineChars="200"/>
        <w:jc w:val="both"/>
        <w:rPr>
          <w:rFonts w:ascii="仿宋" w:hAnsi="仿宋" w:eastAsia="仿宋"/>
          <w:color w:val="auto"/>
          <w:sz w:val="32"/>
          <w:szCs w:val="32"/>
          <w:highlight w:val="none"/>
          <w:lang w:eastAsia="zh-CN"/>
        </w:rPr>
      </w:pPr>
      <w:r>
        <w:rPr>
          <w:rFonts w:hint="eastAsia" w:ascii="仿宋" w:hAnsi="仿宋" w:eastAsia="仿宋" w:cs="仿宋"/>
          <w:b/>
          <w:bCs/>
          <w:color w:val="auto"/>
          <w:sz w:val="32"/>
          <w:szCs w:val="32"/>
          <w:highlight w:val="none"/>
          <w:lang w:eastAsia="zh-CN"/>
        </w:rPr>
        <w:t>第二十条</w:t>
      </w:r>
      <w:r>
        <w:rPr>
          <w:rFonts w:ascii="楷体" w:hAnsi="楷体" w:eastAsia="楷体" w:cs="楷体"/>
          <w:color w:val="auto"/>
          <w:sz w:val="32"/>
          <w:szCs w:val="32"/>
          <w:highlight w:val="none"/>
          <w:lang w:eastAsia="zh-CN"/>
        </w:rPr>
        <w:t xml:space="preserve"> </w:t>
      </w:r>
      <w:r>
        <w:rPr>
          <w:rFonts w:hint="eastAsia" w:ascii="仿宋" w:hAnsi="仿宋" w:eastAsia="仿宋"/>
          <w:color w:val="auto"/>
          <w:sz w:val="32"/>
          <w:szCs w:val="32"/>
          <w:highlight w:val="none"/>
          <w:lang w:eastAsia="zh-CN"/>
        </w:rPr>
        <w:t>档案保管。项目单位或归口管理部门应安排专人负责收集整理采购工作资料并立卷归档备查。</w:t>
      </w:r>
    </w:p>
    <w:p w14:paraId="65B9EC42">
      <w:pPr>
        <w:keepNext w:val="0"/>
        <w:keepLines w:val="0"/>
        <w:pageBreakBefore w:val="0"/>
        <w:widowControl w:val="0"/>
        <w:kinsoku/>
        <w:wordWrap/>
        <w:overflowPunct/>
        <w:topLinePunct w:val="0"/>
        <w:autoSpaceDE w:val="0"/>
        <w:autoSpaceDN w:val="0"/>
        <w:bidi w:val="0"/>
        <w:adjustRightInd w:val="0"/>
        <w:snapToGrid/>
        <w:spacing w:before="0" w:beforeLines="150" w:after="120" w:afterLines="50" w:line="360" w:lineRule="auto"/>
        <w:jc w:val="center"/>
        <w:textAlignment w:val="baseline"/>
        <w:rPr>
          <w:rFonts w:ascii="黑体" w:hAnsi="黑体" w:eastAsia="黑体"/>
          <w:color w:val="auto"/>
          <w:sz w:val="32"/>
          <w:szCs w:val="32"/>
          <w:highlight w:val="none"/>
          <w:lang w:eastAsia="zh-CN"/>
        </w:rPr>
      </w:pPr>
      <w:r>
        <w:rPr>
          <w:rFonts w:hint="eastAsia" w:ascii="黑体" w:hAnsi="黑体" w:eastAsia="黑体"/>
          <w:color w:val="auto"/>
          <w:sz w:val="32"/>
          <w:szCs w:val="32"/>
          <w:highlight w:val="none"/>
          <w:lang w:eastAsia="zh-CN"/>
        </w:rPr>
        <w:t>第四章</w:t>
      </w:r>
      <w:r>
        <w:rPr>
          <w:rFonts w:ascii="黑体" w:hAnsi="黑体" w:eastAsia="黑体"/>
          <w:color w:val="auto"/>
          <w:sz w:val="32"/>
          <w:szCs w:val="32"/>
          <w:highlight w:val="none"/>
          <w:lang w:eastAsia="zh-CN"/>
        </w:rPr>
        <w:t xml:space="preserve"> </w:t>
      </w:r>
      <w:r>
        <w:rPr>
          <w:rFonts w:hint="eastAsia" w:ascii="黑体" w:hAnsi="黑体" w:eastAsia="黑体"/>
          <w:color w:val="auto"/>
          <w:sz w:val="32"/>
          <w:szCs w:val="32"/>
          <w:highlight w:val="none"/>
          <w:lang w:eastAsia="zh-CN"/>
        </w:rPr>
        <w:t>质疑与投诉</w:t>
      </w:r>
    </w:p>
    <w:p w14:paraId="6B1ACD53">
      <w:pPr>
        <w:widowControl w:val="0"/>
        <w:kinsoku/>
        <w:snapToGrid/>
        <w:spacing w:line="560" w:lineRule="exact"/>
        <w:ind w:firstLine="643" w:firstLineChars="200"/>
        <w:jc w:val="both"/>
        <w:rPr>
          <w:rFonts w:ascii="仿宋" w:hAnsi="仿宋" w:eastAsia="仿宋"/>
          <w:color w:val="auto"/>
          <w:sz w:val="32"/>
          <w:szCs w:val="32"/>
          <w:highlight w:val="none"/>
          <w:lang w:eastAsia="zh-CN"/>
        </w:rPr>
      </w:pPr>
      <w:r>
        <w:rPr>
          <w:rFonts w:hint="eastAsia" w:ascii="仿宋" w:hAnsi="仿宋" w:eastAsia="仿宋"/>
          <w:b/>
          <w:color w:val="auto"/>
          <w:sz w:val="32"/>
          <w:szCs w:val="32"/>
          <w:highlight w:val="none"/>
          <w:lang w:eastAsia="zh-CN"/>
        </w:rPr>
        <w:t>第二十一条</w:t>
      </w:r>
      <w:r>
        <w:rPr>
          <w:rFonts w:ascii="仿宋" w:hAnsi="仿宋" w:eastAsia="仿宋"/>
          <w:color w:val="auto"/>
          <w:sz w:val="32"/>
          <w:szCs w:val="32"/>
          <w:highlight w:val="none"/>
          <w:lang w:eastAsia="zh-CN"/>
        </w:rPr>
        <w:t xml:space="preserve"> </w:t>
      </w:r>
      <w:r>
        <w:rPr>
          <w:rFonts w:hint="eastAsia" w:ascii="仿宋" w:hAnsi="仿宋" w:eastAsia="仿宋"/>
          <w:color w:val="auto"/>
          <w:sz w:val="32"/>
          <w:szCs w:val="32"/>
          <w:highlight w:val="none"/>
          <w:lang w:eastAsia="zh-CN"/>
        </w:rPr>
        <w:t>供应商对分散采购活动有质疑的，在知晓其权益受到损害之日起</w:t>
      </w:r>
      <w:r>
        <w:rPr>
          <w:rFonts w:ascii="仿宋" w:hAnsi="仿宋" w:eastAsia="仿宋"/>
          <w:color w:val="auto"/>
          <w:sz w:val="32"/>
          <w:szCs w:val="32"/>
          <w:highlight w:val="none"/>
          <w:lang w:eastAsia="zh-CN"/>
        </w:rPr>
        <w:t>5</w:t>
      </w:r>
      <w:r>
        <w:rPr>
          <w:rFonts w:hint="eastAsia" w:ascii="仿宋" w:hAnsi="仿宋" w:eastAsia="仿宋"/>
          <w:color w:val="auto"/>
          <w:sz w:val="32"/>
          <w:szCs w:val="32"/>
          <w:highlight w:val="none"/>
          <w:lang w:eastAsia="zh-CN"/>
        </w:rPr>
        <w:t>日内，以书面形式实名（包括联系人、地址、联系电话等，加盖单位公章）提出。质疑供应商应当是参加该项目采购活动的供应商。</w:t>
      </w:r>
      <w:r>
        <w:rPr>
          <w:rFonts w:ascii="仿宋" w:hAnsi="仿宋" w:eastAsia="仿宋"/>
          <w:color w:val="auto"/>
          <w:sz w:val="32"/>
          <w:szCs w:val="32"/>
          <w:highlight w:val="none"/>
          <w:lang w:eastAsia="zh-CN"/>
        </w:rPr>
        <w:t xml:space="preserve"> </w:t>
      </w:r>
    </w:p>
    <w:p w14:paraId="062252F0">
      <w:pPr>
        <w:widowControl w:val="0"/>
        <w:kinsoku/>
        <w:snapToGrid/>
        <w:spacing w:line="560" w:lineRule="exact"/>
        <w:ind w:firstLine="643" w:firstLineChars="200"/>
        <w:jc w:val="both"/>
        <w:rPr>
          <w:rFonts w:ascii="仿宋" w:hAnsi="仿宋" w:eastAsia="仿宋"/>
          <w:color w:val="auto"/>
          <w:sz w:val="32"/>
          <w:szCs w:val="32"/>
          <w:highlight w:val="none"/>
          <w:lang w:eastAsia="zh-CN"/>
        </w:rPr>
      </w:pPr>
      <w:r>
        <w:rPr>
          <w:rFonts w:hint="eastAsia" w:ascii="仿宋" w:hAnsi="仿宋" w:eastAsia="仿宋"/>
          <w:b/>
          <w:color w:val="auto"/>
          <w:sz w:val="32"/>
          <w:szCs w:val="32"/>
          <w:highlight w:val="none"/>
          <w:lang w:eastAsia="zh-CN"/>
        </w:rPr>
        <w:t>第二十二条</w:t>
      </w:r>
      <w:r>
        <w:rPr>
          <w:rFonts w:hint="eastAsia" w:ascii="仿宋" w:hAnsi="仿宋" w:eastAsia="仿宋"/>
          <w:color w:val="auto"/>
          <w:sz w:val="32"/>
          <w:szCs w:val="32"/>
          <w:highlight w:val="none"/>
          <w:lang w:eastAsia="zh-CN"/>
        </w:rPr>
        <w:t xml:space="preserve"> 项目单位应当在收到质疑函后</w:t>
      </w:r>
      <w:r>
        <w:rPr>
          <w:rFonts w:ascii="仿宋" w:hAnsi="仿宋" w:eastAsia="仿宋"/>
          <w:color w:val="auto"/>
          <w:sz w:val="32"/>
          <w:szCs w:val="32"/>
          <w:highlight w:val="none"/>
          <w:lang w:eastAsia="zh-CN"/>
        </w:rPr>
        <w:t>7</w:t>
      </w:r>
      <w:r>
        <w:rPr>
          <w:rFonts w:hint="eastAsia" w:ascii="仿宋" w:hAnsi="仿宋" w:eastAsia="仿宋"/>
          <w:color w:val="auto"/>
          <w:sz w:val="32"/>
          <w:szCs w:val="32"/>
          <w:highlight w:val="none"/>
          <w:lang w:eastAsia="zh-CN"/>
        </w:rPr>
        <w:t>日内作出书面答复。</w:t>
      </w:r>
      <w:r>
        <w:rPr>
          <w:rFonts w:ascii="仿宋" w:hAnsi="仿宋" w:eastAsia="仿宋"/>
          <w:color w:val="auto"/>
          <w:sz w:val="32"/>
          <w:szCs w:val="32"/>
          <w:highlight w:val="none"/>
          <w:lang w:eastAsia="zh-CN"/>
        </w:rPr>
        <w:t xml:space="preserve"> </w:t>
      </w:r>
    </w:p>
    <w:p w14:paraId="51629C08">
      <w:pPr>
        <w:widowControl w:val="0"/>
        <w:kinsoku/>
        <w:snapToGrid/>
        <w:spacing w:line="560" w:lineRule="exact"/>
        <w:ind w:firstLine="643" w:firstLineChars="200"/>
        <w:jc w:val="both"/>
        <w:rPr>
          <w:rFonts w:ascii="仿宋" w:hAnsi="仿宋" w:eastAsia="仿宋"/>
          <w:sz w:val="32"/>
          <w:szCs w:val="32"/>
          <w:lang w:eastAsia="zh-CN"/>
        </w:rPr>
      </w:pPr>
      <w:r>
        <w:rPr>
          <w:rFonts w:hint="eastAsia" w:ascii="仿宋" w:hAnsi="仿宋" w:eastAsia="仿宋"/>
          <w:b/>
          <w:color w:val="auto"/>
          <w:sz w:val="32"/>
          <w:szCs w:val="32"/>
          <w:highlight w:val="none"/>
          <w:lang w:eastAsia="zh-CN"/>
        </w:rPr>
        <w:t>第二十</w:t>
      </w:r>
      <w:r>
        <w:rPr>
          <w:rFonts w:hint="eastAsia" w:ascii="仿宋" w:hAnsi="仿宋" w:eastAsia="仿宋"/>
          <w:b/>
          <w:sz w:val="32"/>
          <w:szCs w:val="32"/>
          <w:highlight w:val="none"/>
          <w:lang w:eastAsia="zh-CN"/>
        </w:rPr>
        <w:t>三条</w:t>
      </w:r>
      <w:r>
        <w:rPr>
          <w:rFonts w:ascii="仿宋" w:hAnsi="仿宋" w:eastAsia="仿宋"/>
          <w:sz w:val="32"/>
          <w:szCs w:val="32"/>
          <w:highlight w:val="none"/>
          <w:lang w:eastAsia="zh-CN"/>
        </w:rPr>
        <w:t xml:space="preserve"> </w:t>
      </w:r>
      <w:bookmarkStart w:id="0" w:name="_GoBack"/>
      <w:bookmarkEnd w:id="0"/>
      <w:r>
        <w:rPr>
          <w:rFonts w:hint="eastAsia" w:ascii="仿宋" w:hAnsi="仿宋" w:eastAsia="仿宋"/>
          <w:sz w:val="32"/>
          <w:szCs w:val="32"/>
          <w:highlight w:val="none"/>
          <w:lang w:eastAsia="zh-CN"/>
        </w:rPr>
        <w:t>质疑供应</w:t>
      </w:r>
      <w:r>
        <w:rPr>
          <w:rFonts w:hint="eastAsia" w:ascii="仿宋" w:hAnsi="仿宋" w:eastAsia="仿宋"/>
          <w:sz w:val="32"/>
          <w:szCs w:val="32"/>
          <w:lang w:eastAsia="zh-CN"/>
        </w:rPr>
        <w:t>商对项目单位的答复不满意，或者未在规定时间内作出答复的，可以在答复期满后</w:t>
      </w:r>
      <w:r>
        <w:rPr>
          <w:rFonts w:ascii="仿宋" w:hAnsi="仿宋" w:eastAsia="仿宋"/>
          <w:sz w:val="32"/>
          <w:szCs w:val="32"/>
          <w:lang w:eastAsia="zh-CN"/>
        </w:rPr>
        <w:t>5</w:t>
      </w:r>
      <w:r>
        <w:rPr>
          <w:rFonts w:hint="eastAsia" w:ascii="仿宋" w:hAnsi="仿宋" w:eastAsia="仿宋"/>
          <w:sz w:val="32"/>
          <w:szCs w:val="32"/>
          <w:lang w:eastAsia="zh-CN"/>
        </w:rPr>
        <w:t>日内向招采办投诉。学校依规进行审查处理。</w:t>
      </w:r>
    </w:p>
    <w:p w14:paraId="53EA6907">
      <w:pPr>
        <w:widowControl w:val="0"/>
        <w:kinsoku/>
        <w:snapToGrid/>
        <w:spacing w:line="560" w:lineRule="exact"/>
        <w:ind w:firstLine="643" w:firstLineChars="200"/>
        <w:jc w:val="both"/>
        <w:rPr>
          <w:rFonts w:ascii="仿宋" w:hAnsi="仿宋" w:eastAsia="仿宋"/>
          <w:sz w:val="32"/>
          <w:szCs w:val="32"/>
          <w:lang w:eastAsia="zh-CN"/>
        </w:rPr>
      </w:pPr>
      <w:r>
        <w:rPr>
          <w:rFonts w:hint="eastAsia" w:ascii="仿宋" w:hAnsi="仿宋" w:eastAsia="仿宋"/>
          <w:b/>
          <w:sz w:val="32"/>
          <w:szCs w:val="32"/>
          <w:lang w:eastAsia="zh-CN"/>
        </w:rPr>
        <w:t>第二十四条</w:t>
      </w:r>
      <w:r>
        <w:rPr>
          <w:rFonts w:ascii="仿宋" w:hAnsi="仿宋" w:eastAsia="仿宋"/>
          <w:sz w:val="32"/>
          <w:szCs w:val="32"/>
          <w:lang w:eastAsia="zh-CN"/>
        </w:rPr>
        <w:t xml:space="preserve"> </w:t>
      </w:r>
      <w:r>
        <w:rPr>
          <w:rFonts w:hint="eastAsia" w:ascii="仿宋" w:hAnsi="仿宋" w:eastAsia="仿宋"/>
          <w:sz w:val="32"/>
          <w:szCs w:val="32"/>
          <w:lang w:eastAsia="zh-CN"/>
        </w:rPr>
        <w:t>供应商质疑投诉须依法依规，不得捏造事实、提供虚假材料或以非法手段取得证明材料。</w:t>
      </w:r>
    </w:p>
    <w:p w14:paraId="6D3725C0">
      <w:pPr>
        <w:keepNext w:val="0"/>
        <w:keepLines w:val="0"/>
        <w:pageBreakBefore w:val="0"/>
        <w:widowControl w:val="0"/>
        <w:kinsoku/>
        <w:wordWrap/>
        <w:overflowPunct/>
        <w:topLinePunct w:val="0"/>
        <w:autoSpaceDE w:val="0"/>
        <w:autoSpaceDN w:val="0"/>
        <w:bidi w:val="0"/>
        <w:adjustRightInd w:val="0"/>
        <w:snapToGrid/>
        <w:spacing w:before="0" w:beforeLines="150" w:after="120" w:afterLines="50" w:line="360" w:lineRule="auto"/>
        <w:jc w:val="center"/>
        <w:textAlignment w:val="baseline"/>
        <w:rPr>
          <w:lang w:eastAsia="zh-CN"/>
        </w:rPr>
      </w:pPr>
      <w:r>
        <w:rPr>
          <w:rFonts w:hint="eastAsia" w:ascii="黑体" w:hAnsi="黑体" w:eastAsia="黑体"/>
          <w:sz w:val="32"/>
          <w:szCs w:val="32"/>
          <w:lang w:eastAsia="zh-CN"/>
        </w:rPr>
        <w:t>第五章  监督与检查</w:t>
      </w:r>
    </w:p>
    <w:p w14:paraId="319AEEBA">
      <w:pPr>
        <w:widowControl w:val="0"/>
        <w:kinsoku/>
        <w:snapToGrid/>
        <w:spacing w:line="560" w:lineRule="exact"/>
        <w:ind w:right="179" w:firstLine="643" w:firstLineChars="200"/>
        <w:jc w:val="both"/>
        <w:rPr>
          <w:rFonts w:ascii="仿宋" w:hAnsi="仿宋" w:eastAsia="仿宋"/>
          <w:sz w:val="32"/>
          <w:szCs w:val="32"/>
          <w:lang w:eastAsia="zh-CN"/>
        </w:rPr>
      </w:pPr>
      <w:r>
        <w:rPr>
          <w:rFonts w:hint="eastAsia" w:ascii="仿宋" w:hAnsi="仿宋" w:eastAsia="仿宋" w:cs="仿宋"/>
          <w:b/>
          <w:bCs/>
          <w:sz w:val="32"/>
          <w:szCs w:val="32"/>
          <w:lang w:eastAsia="zh-CN"/>
        </w:rPr>
        <w:t>第二十五条</w:t>
      </w:r>
      <w:r>
        <w:rPr>
          <w:rFonts w:ascii="楷体" w:hAnsi="楷体" w:eastAsia="楷体" w:cs="楷体"/>
          <w:sz w:val="32"/>
          <w:szCs w:val="32"/>
          <w:lang w:eastAsia="zh-CN"/>
        </w:rPr>
        <w:t xml:space="preserve"> </w:t>
      </w:r>
      <w:r>
        <w:rPr>
          <w:rFonts w:hint="eastAsia" w:ascii="仿宋" w:hAnsi="仿宋" w:eastAsia="仿宋"/>
          <w:sz w:val="32"/>
          <w:szCs w:val="32"/>
          <w:lang w:eastAsia="zh-CN"/>
        </w:rPr>
        <w:t>任何单位和个人对校内分散采购活动中的违法、违规行为，有权进行举报和投诉。</w:t>
      </w:r>
    </w:p>
    <w:p w14:paraId="0B1D9735">
      <w:pPr>
        <w:widowControl w:val="0"/>
        <w:kinsoku/>
        <w:snapToGrid/>
        <w:spacing w:line="560" w:lineRule="exact"/>
        <w:ind w:right="204" w:firstLine="643" w:firstLineChars="200"/>
        <w:jc w:val="both"/>
        <w:rPr>
          <w:rFonts w:ascii="仿宋" w:hAnsi="仿宋" w:eastAsia="仿宋"/>
          <w:sz w:val="32"/>
          <w:szCs w:val="32"/>
          <w:lang w:eastAsia="zh-CN"/>
        </w:rPr>
      </w:pPr>
      <w:r>
        <w:rPr>
          <w:rFonts w:hint="eastAsia" w:ascii="仿宋" w:hAnsi="仿宋" w:eastAsia="仿宋" w:cs="仿宋"/>
          <w:b/>
          <w:bCs/>
          <w:sz w:val="32"/>
          <w:szCs w:val="32"/>
          <w:lang w:eastAsia="zh-CN"/>
        </w:rPr>
        <w:t>第二十六条</w:t>
      </w:r>
      <w:r>
        <w:rPr>
          <w:rFonts w:ascii="楷体" w:hAnsi="楷体" w:eastAsia="楷体" w:cs="楷体"/>
          <w:sz w:val="32"/>
          <w:szCs w:val="32"/>
          <w:lang w:eastAsia="zh-CN"/>
        </w:rPr>
        <w:t xml:space="preserve"> </w:t>
      </w:r>
      <w:r>
        <w:rPr>
          <w:rFonts w:hint="eastAsia" w:ascii="仿宋" w:hAnsi="仿宋" w:eastAsia="仿宋"/>
          <w:sz w:val="32"/>
          <w:szCs w:val="32"/>
          <w:lang w:eastAsia="zh-CN"/>
        </w:rPr>
        <w:t>归口管理部门对项目单位分散采购的需求编制、项目执行、实施效果等进行监督。</w:t>
      </w:r>
    </w:p>
    <w:p w14:paraId="4B356C2E">
      <w:pPr>
        <w:widowControl w:val="0"/>
        <w:kinsoku/>
        <w:snapToGrid/>
        <w:spacing w:line="560" w:lineRule="exact"/>
        <w:ind w:right="241" w:firstLine="643" w:firstLineChars="200"/>
        <w:jc w:val="both"/>
        <w:rPr>
          <w:rFonts w:ascii="仿宋" w:hAnsi="仿宋" w:eastAsia="仿宋"/>
          <w:sz w:val="32"/>
          <w:szCs w:val="32"/>
          <w:lang w:eastAsia="zh-CN"/>
        </w:rPr>
      </w:pPr>
      <w:r>
        <w:rPr>
          <w:rFonts w:hint="eastAsia" w:ascii="仿宋" w:hAnsi="仿宋" w:eastAsia="仿宋" w:cs="仿宋"/>
          <w:b/>
          <w:bCs/>
          <w:sz w:val="32"/>
          <w:szCs w:val="32"/>
          <w:lang w:eastAsia="zh-CN"/>
        </w:rPr>
        <w:t>第二十七条</w:t>
      </w:r>
      <w:r>
        <w:rPr>
          <w:rFonts w:ascii="楷体" w:hAnsi="楷体" w:eastAsia="楷体" w:cs="楷体"/>
          <w:sz w:val="32"/>
          <w:szCs w:val="32"/>
          <w:lang w:eastAsia="zh-CN"/>
        </w:rPr>
        <w:t xml:space="preserve"> </w:t>
      </w:r>
      <w:r>
        <w:rPr>
          <w:rFonts w:hint="eastAsia" w:ascii="仿宋" w:hAnsi="仿宋" w:eastAsia="仿宋"/>
          <w:sz w:val="32"/>
          <w:szCs w:val="32"/>
          <w:lang w:eastAsia="zh-CN"/>
        </w:rPr>
        <w:t>学校纪检监察、审计、财务、</w:t>
      </w:r>
      <w:r>
        <w:rPr>
          <w:rFonts w:hint="eastAsia" w:ascii="仿宋" w:hAnsi="仿宋" w:eastAsia="仿宋"/>
          <w:sz w:val="32"/>
          <w:szCs w:val="32"/>
          <w:lang w:val="en-US" w:eastAsia="zh-CN"/>
        </w:rPr>
        <w:t>招标采购</w:t>
      </w:r>
      <w:r>
        <w:rPr>
          <w:rFonts w:hint="eastAsia" w:ascii="仿宋" w:hAnsi="仿宋" w:eastAsia="仿宋"/>
          <w:sz w:val="32"/>
          <w:szCs w:val="32"/>
          <w:lang w:eastAsia="zh-CN"/>
        </w:rPr>
        <w:t>等部门按其工作职能对分散采购活动进行监督检查。</w:t>
      </w:r>
    </w:p>
    <w:p w14:paraId="6560EC77">
      <w:pPr>
        <w:widowControl w:val="0"/>
        <w:kinsoku/>
        <w:snapToGrid/>
        <w:spacing w:line="560" w:lineRule="exact"/>
        <w:ind w:right="241" w:firstLine="643" w:firstLineChars="200"/>
        <w:jc w:val="both"/>
        <w:rPr>
          <w:rFonts w:ascii="仿宋" w:hAnsi="仿宋" w:eastAsia="仿宋"/>
          <w:sz w:val="32"/>
          <w:szCs w:val="32"/>
          <w:lang w:eastAsia="zh-CN"/>
        </w:rPr>
      </w:pPr>
      <w:r>
        <w:rPr>
          <w:rFonts w:hint="eastAsia" w:ascii="仿宋" w:hAnsi="仿宋" w:eastAsia="仿宋" w:cs="仿宋"/>
          <w:b/>
          <w:bCs/>
          <w:sz w:val="32"/>
          <w:szCs w:val="32"/>
          <w:lang w:eastAsia="zh-CN"/>
        </w:rPr>
        <w:t>第二十八条</w:t>
      </w:r>
      <w:r>
        <w:rPr>
          <w:rFonts w:ascii="楷体" w:hAnsi="楷体" w:eastAsia="楷体" w:cs="楷体"/>
          <w:sz w:val="32"/>
          <w:szCs w:val="32"/>
          <w:lang w:eastAsia="zh-CN"/>
        </w:rPr>
        <w:t xml:space="preserve"> </w:t>
      </w:r>
      <w:r>
        <w:rPr>
          <w:rFonts w:hint="eastAsia" w:ascii="仿宋" w:hAnsi="仿宋" w:eastAsia="仿宋"/>
          <w:sz w:val="32"/>
          <w:szCs w:val="32"/>
          <w:lang w:eastAsia="zh-CN"/>
        </w:rPr>
        <w:t>对未按规定组织实施采购活动的，或采购活动中存在玩忽职守、徇私舞弊、不正当履职行为的，按照《新乡医学院招标采购管理办法》有关规定处理。</w:t>
      </w:r>
    </w:p>
    <w:p w14:paraId="52575811">
      <w:pPr>
        <w:keepNext w:val="0"/>
        <w:keepLines w:val="0"/>
        <w:pageBreakBefore w:val="0"/>
        <w:widowControl w:val="0"/>
        <w:kinsoku/>
        <w:wordWrap/>
        <w:overflowPunct/>
        <w:topLinePunct w:val="0"/>
        <w:autoSpaceDE w:val="0"/>
        <w:autoSpaceDN w:val="0"/>
        <w:bidi w:val="0"/>
        <w:adjustRightInd w:val="0"/>
        <w:snapToGrid/>
        <w:spacing w:before="0" w:beforeLines="150" w:after="120" w:afterLines="50" w:line="360" w:lineRule="auto"/>
        <w:jc w:val="center"/>
        <w:textAlignment w:val="baseline"/>
        <w:rPr>
          <w:lang w:eastAsia="zh-CN"/>
        </w:rPr>
      </w:pPr>
      <w:r>
        <w:rPr>
          <w:rFonts w:hint="eastAsia" w:ascii="黑体" w:hAnsi="黑体" w:eastAsia="黑体"/>
          <w:sz w:val="32"/>
          <w:szCs w:val="32"/>
          <w:lang w:eastAsia="zh-CN"/>
        </w:rPr>
        <w:t>第六章  附则</w:t>
      </w:r>
    </w:p>
    <w:p w14:paraId="5BE89C78">
      <w:pPr>
        <w:widowControl w:val="0"/>
        <w:kinsoku/>
        <w:snapToGrid/>
        <w:spacing w:line="560" w:lineRule="exact"/>
        <w:ind w:firstLine="643" w:firstLineChars="200"/>
        <w:jc w:val="both"/>
        <w:rPr>
          <w:rFonts w:ascii="仿宋" w:hAnsi="仿宋" w:eastAsia="仿宋" w:cs="仿宋"/>
          <w:sz w:val="33"/>
          <w:szCs w:val="33"/>
          <w:lang w:eastAsia="zh-CN"/>
        </w:rPr>
      </w:pPr>
      <w:r>
        <w:rPr>
          <w:rFonts w:hint="eastAsia" w:ascii="仿宋" w:hAnsi="仿宋" w:eastAsia="仿宋" w:cs="仿宋"/>
          <w:b/>
          <w:bCs/>
          <w:sz w:val="32"/>
          <w:szCs w:val="32"/>
          <w:lang w:eastAsia="zh-CN"/>
        </w:rPr>
        <w:t>第二十九条</w:t>
      </w:r>
      <w:r>
        <w:rPr>
          <w:rFonts w:ascii="楷体" w:hAnsi="楷体" w:eastAsia="楷体" w:cs="楷体"/>
          <w:sz w:val="33"/>
          <w:szCs w:val="33"/>
          <w:lang w:eastAsia="zh-CN"/>
        </w:rPr>
        <w:t xml:space="preserve"> </w:t>
      </w:r>
      <w:r>
        <w:rPr>
          <w:rFonts w:hint="eastAsia" w:ascii="仿宋" w:hAnsi="仿宋" w:eastAsia="仿宋"/>
          <w:sz w:val="32"/>
          <w:szCs w:val="32"/>
          <w:lang w:eastAsia="zh-CN"/>
        </w:rPr>
        <w:t>本细则所称的“以上”包括本数。</w:t>
      </w:r>
    </w:p>
    <w:p w14:paraId="14B9A620">
      <w:pPr>
        <w:widowControl w:val="0"/>
        <w:kinsoku/>
        <w:snapToGrid/>
        <w:spacing w:line="560" w:lineRule="exact"/>
        <w:ind w:firstLine="643" w:firstLineChars="200"/>
        <w:jc w:val="both"/>
        <w:rPr>
          <w:lang w:eastAsia="zh-CN"/>
        </w:rPr>
      </w:pPr>
      <w:r>
        <w:rPr>
          <w:rFonts w:hint="eastAsia" w:ascii="仿宋" w:hAnsi="仿宋" w:eastAsia="仿宋" w:cs="仿宋"/>
          <w:b/>
          <w:bCs/>
          <w:sz w:val="32"/>
          <w:szCs w:val="32"/>
          <w:lang w:eastAsia="zh-CN"/>
        </w:rPr>
        <w:t>第三十条</w:t>
      </w:r>
      <w:r>
        <w:rPr>
          <w:rFonts w:ascii="楷体" w:hAnsi="楷体" w:eastAsia="楷体" w:cs="楷体"/>
          <w:sz w:val="33"/>
          <w:szCs w:val="33"/>
          <w:lang w:eastAsia="zh-CN"/>
        </w:rPr>
        <w:t xml:space="preserve"> </w:t>
      </w:r>
      <w:r>
        <w:rPr>
          <w:rFonts w:ascii="仿宋" w:hAnsi="仿宋" w:eastAsia="仿宋" w:cs="仿宋"/>
          <w:sz w:val="33"/>
          <w:szCs w:val="33"/>
          <w:lang w:eastAsia="zh-CN"/>
        </w:rPr>
        <w:t>本</w:t>
      </w:r>
      <w:r>
        <w:rPr>
          <w:rFonts w:hint="eastAsia" w:ascii="仿宋" w:hAnsi="仿宋" w:eastAsia="仿宋" w:cs="仿宋"/>
          <w:sz w:val="33"/>
          <w:szCs w:val="33"/>
          <w:lang w:eastAsia="zh-CN"/>
        </w:rPr>
        <w:t>细则</w:t>
      </w:r>
      <w:r>
        <w:rPr>
          <w:rFonts w:ascii="仿宋" w:hAnsi="仿宋" w:eastAsia="仿宋" w:cs="仿宋"/>
          <w:sz w:val="33"/>
          <w:szCs w:val="33"/>
          <w:lang w:eastAsia="zh-CN"/>
        </w:rPr>
        <w:t>由</w:t>
      </w:r>
      <w:r>
        <w:rPr>
          <w:rFonts w:hint="eastAsia" w:ascii="仿宋" w:hAnsi="仿宋" w:eastAsia="仿宋" w:cs="仿宋"/>
          <w:sz w:val="33"/>
          <w:szCs w:val="33"/>
          <w:lang w:eastAsia="zh-CN"/>
        </w:rPr>
        <w:t>招采办</w:t>
      </w:r>
      <w:r>
        <w:rPr>
          <w:rFonts w:ascii="仿宋" w:hAnsi="仿宋" w:eastAsia="仿宋" w:cs="仿宋"/>
          <w:sz w:val="33"/>
          <w:szCs w:val="33"/>
          <w:lang w:eastAsia="zh-CN"/>
        </w:rPr>
        <w:t>负责解释，自发布之日起施行。</w:t>
      </w:r>
    </w:p>
    <w:p w14:paraId="24C279F0">
      <w:pPr>
        <w:widowControl w:val="0"/>
        <w:kinsoku/>
        <w:snapToGrid/>
        <w:spacing w:line="360" w:lineRule="auto"/>
        <w:jc w:val="both"/>
        <w:rPr>
          <w:rFonts w:eastAsiaTheme="minorEastAsia"/>
          <w:lang w:eastAsia="zh-CN"/>
        </w:rPr>
      </w:pPr>
    </w:p>
    <w:p w14:paraId="24846594">
      <w:pPr>
        <w:widowControl w:val="0"/>
        <w:kinsoku/>
        <w:snapToGrid/>
        <w:spacing w:line="360" w:lineRule="auto"/>
        <w:jc w:val="both"/>
        <w:rPr>
          <w:rFonts w:eastAsiaTheme="minorEastAsia"/>
          <w:lang w:eastAsia="zh-CN"/>
        </w:rPr>
      </w:pPr>
    </w:p>
    <w:p w14:paraId="01B83E98">
      <w:pPr>
        <w:widowControl w:val="0"/>
        <w:kinsoku/>
        <w:snapToGrid/>
        <w:spacing w:line="360" w:lineRule="auto"/>
        <w:jc w:val="both"/>
        <w:rPr>
          <w:rFonts w:hint="eastAsia" w:eastAsiaTheme="minorEastAsia"/>
          <w:lang w:eastAsia="zh-CN"/>
        </w:rPr>
      </w:pPr>
    </w:p>
    <w:sectPr>
      <w:footerReference r:id="rId3" w:type="default"/>
      <w:pgSz w:w="11900" w:h="16840"/>
      <w:pgMar w:top="1431" w:right="1450" w:bottom="1704" w:left="1579" w:header="0" w:footer="1387"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AF2AE">
    <w:pPr>
      <w:spacing w:line="177" w:lineRule="auto"/>
      <w:ind w:left="470"/>
      <w:rPr>
        <w:rFonts w:ascii="宋体" w:hAnsi="宋体" w:eastAsia="宋体" w:cs="宋体"/>
        <w:sz w:val="32"/>
        <w:szCs w:val="32"/>
      </w:rPr>
    </w:pPr>
    <w:r>
      <w:rPr>
        <w:sz w:val="3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918B13">
                          <w:pPr>
                            <w:pStyle w:val="5"/>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E918B13">
                    <w:pPr>
                      <w:pStyle w:val="5"/>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1"/>
  <w:bordersDoNotSurroundFooter w:val="1"/>
  <w:documentProtection w:enforcement="0"/>
  <w:defaultTabStop w:val="420"/>
  <w:characterSpacingControl w:val="doNotCompress"/>
  <w:compat>
    <w:spaceForUL/>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c4NTI3NGIyMDVlOGE5ZWQ0MDY4MzVmNzlhOWQyYWEifQ=="/>
    <w:docVar w:name="KSO_WPS_MARK_KEY" w:val="fd89d030-a321-44cc-824e-a4fcda2faf26"/>
  </w:docVars>
  <w:rsids>
    <w:rsidRoot w:val="004116C2"/>
    <w:rsid w:val="0000019E"/>
    <w:rsid w:val="00024563"/>
    <w:rsid w:val="000332D0"/>
    <w:rsid w:val="00042F6E"/>
    <w:rsid w:val="00100C96"/>
    <w:rsid w:val="00142ABA"/>
    <w:rsid w:val="0017022C"/>
    <w:rsid w:val="00177518"/>
    <w:rsid w:val="001D1CC2"/>
    <w:rsid w:val="002363CD"/>
    <w:rsid w:val="0025248A"/>
    <w:rsid w:val="002B2C37"/>
    <w:rsid w:val="00350A73"/>
    <w:rsid w:val="003D444D"/>
    <w:rsid w:val="004116C2"/>
    <w:rsid w:val="00445459"/>
    <w:rsid w:val="004B65FB"/>
    <w:rsid w:val="004C464D"/>
    <w:rsid w:val="004C4DE0"/>
    <w:rsid w:val="0053286A"/>
    <w:rsid w:val="0054711C"/>
    <w:rsid w:val="005A216C"/>
    <w:rsid w:val="005B3229"/>
    <w:rsid w:val="006108D3"/>
    <w:rsid w:val="00640B6A"/>
    <w:rsid w:val="006426F9"/>
    <w:rsid w:val="006655F6"/>
    <w:rsid w:val="006A579A"/>
    <w:rsid w:val="006E5677"/>
    <w:rsid w:val="006F06AF"/>
    <w:rsid w:val="00724321"/>
    <w:rsid w:val="00733464"/>
    <w:rsid w:val="0076597C"/>
    <w:rsid w:val="007A654B"/>
    <w:rsid w:val="00850836"/>
    <w:rsid w:val="008968B4"/>
    <w:rsid w:val="008E2CA6"/>
    <w:rsid w:val="008E3652"/>
    <w:rsid w:val="00953156"/>
    <w:rsid w:val="00967F19"/>
    <w:rsid w:val="00A1295F"/>
    <w:rsid w:val="00A81831"/>
    <w:rsid w:val="00AB0577"/>
    <w:rsid w:val="00AE5B23"/>
    <w:rsid w:val="00B056BE"/>
    <w:rsid w:val="00B14EBB"/>
    <w:rsid w:val="00B23520"/>
    <w:rsid w:val="00B5568B"/>
    <w:rsid w:val="00B859B6"/>
    <w:rsid w:val="00B92A34"/>
    <w:rsid w:val="00BE079E"/>
    <w:rsid w:val="00BE45DC"/>
    <w:rsid w:val="00C0153A"/>
    <w:rsid w:val="00C052CF"/>
    <w:rsid w:val="00C1713D"/>
    <w:rsid w:val="00C3279E"/>
    <w:rsid w:val="00C34625"/>
    <w:rsid w:val="00C9584D"/>
    <w:rsid w:val="00CB7213"/>
    <w:rsid w:val="00CC0920"/>
    <w:rsid w:val="00CF39AA"/>
    <w:rsid w:val="00D102E2"/>
    <w:rsid w:val="00D71727"/>
    <w:rsid w:val="00DA1940"/>
    <w:rsid w:val="00DB1697"/>
    <w:rsid w:val="00DB7A0E"/>
    <w:rsid w:val="00DD2D8F"/>
    <w:rsid w:val="00DD594F"/>
    <w:rsid w:val="00DD61BC"/>
    <w:rsid w:val="00E16974"/>
    <w:rsid w:val="00E60B33"/>
    <w:rsid w:val="00EB767F"/>
    <w:rsid w:val="00FB02AC"/>
    <w:rsid w:val="03043785"/>
    <w:rsid w:val="03894CD9"/>
    <w:rsid w:val="046F071C"/>
    <w:rsid w:val="06CC6A15"/>
    <w:rsid w:val="11391E93"/>
    <w:rsid w:val="11A07CC9"/>
    <w:rsid w:val="19B067F0"/>
    <w:rsid w:val="2102372B"/>
    <w:rsid w:val="23E350C1"/>
    <w:rsid w:val="2C7C3DF7"/>
    <w:rsid w:val="357066A3"/>
    <w:rsid w:val="369A6268"/>
    <w:rsid w:val="3A785B86"/>
    <w:rsid w:val="3EF35C06"/>
    <w:rsid w:val="40E0613C"/>
    <w:rsid w:val="47C23A9D"/>
    <w:rsid w:val="498B2C42"/>
    <w:rsid w:val="4CBD1DBD"/>
    <w:rsid w:val="4D447CF5"/>
    <w:rsid w:val="4FFC05C2"/>
    <w:rsid w:val="58D15531"/>
    <w:rsid w:val="5967000B"/>
    <w:rsid w:val="64F65A2C"/>
    <w:rsid w:val="6E7375E8"/>
    <w:rsid w:val="72B21946"/>
    <w:rsid w:val="755947E2"/>
    <w:rsid w:val="78CD5824"/>
    <w:rsid w:val="78FD39CE"/>
    <w:rsid w:val="794B4AC2"/>
    <w:rsid w:val="7E6573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EastAsia"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qFormat/>
    <w:uiPriority w:val="0"/>
  </w:style>
  <w:style w:type="paragraph" w:styleId="3">
    <w:name w:val="Body Text"/>
    <w:basedOn w:val="1"/>
    <w:semiHidden/>
    <w:qFormat/>
    <w:uiPriority w:val="0"/>
  </w:style>
  <w:style w:type="paragraph" w:styleId="4">
    <w:name w:val="Balloon Text"/>
    <w:basedOn w:val="1"/>
    <w:link w:val="16"/>
    <w:qFormat/>
    <w:uiPriority w:val="0"/>
    <w:rPr>
      <w:sz w:val="18"/>
      <w:szCs w:val="18"/>
    </w:rPr>
  </w:style>
  <w:style w:type="paragraph" w:styleId="5">
    <w:name w:val="footer"/>
    <w:basedOn w:val="1"/>
    <w:link w:val="13"/>
    <w:qFormat/>
    <w:uiPriority w:val="0"/>
    <w:pPr>
      <w:tabs>
        <w:tab w:val="center" w:pos="4153"/>
        <w:tab w:val="right" w:pos="8306"/>
      </w:tabs>
    </w:pPr>
    <w:rPr>
      <w:sz w:val="18"/>
      <w:szCs w:val="18"/>
    </w:rPr>
  </w:style>
  <w:style w:type="paragraph" w:styleId="6">
    <w:name w:val="header"/>
    <w:basedOn w:val="1"/>
    <w:link w:val="12"/>
    <w:qFormat/>
    <w:uiPriority w:val="0"/>
    <w:pPr>
      <w:pBdr>
        <w:bottom w:val="single" w:color="auto" w:sz="6" w:space="1"/>
      </w:pBdr>
      <w:tabs>
        <w:tab w:val="center" w:pos="4153"/>
        <w:tab w:val="right" w:pos="8306"/>
      </w:tabs>
      <w:jc w:val="center"/>
    </w:pPr>
    <w:rPr>
      <w:sz w:val="18"/>
      <w:szCs w:val="18"/>
    </w:rPr>
  </w:style>
  <w:style w:type="paragraph" w:styleId="7">
    <w:name w:val="annotation subject"/>
    <w:basedOn w:val="2"/>
    <w:next w:val="2"/>
    <w:link w:val="15"/>
    <w:qFormat/>
    <w:uiPriority w:val="0"/>
    <w:rPr>
      <w:b/>
      <w:bCs/>
    </w:rPr>
  </w:style>
  <w:style w:type="character" w:styleId="10">
    <w:name w:val="annotation reference"/>
    <w:basedOn w:val="9"/>
    <w:qFormat/>
    <w:uiPriority w:val="0"/>
    <w:rPr>
      <w:sz w:val="21"/>
      <w:szCs w:val="21"/>
    </w:rPr>
  </w:style>
  <w:style w:type="table" w:customStyle="1" w:styleId="11">
    <w:name w:val="Table Normal"/>
    <w:semiHidden/>
    <w:unhideWhenUsed/>
    <w:qFormat/>
    <w:uiPriority w:val="0"/>
    <w:tblPr>
      <w:tblCellMar>
        <w:top w:w="0" w:type="dxa"/>
        <w:left w:w="0" w:type="dxa"/>
        <w:bottom w:w="0" w:type="dxa"/>
        <w:right w:w="0" w:type="dxa"/>
      </w:tblCellMar>
    </w:tblPr>
  </w:style>
  <w:style w:type="character" w:customStyle="1" w:styleId="12">
    <w:name w:val="页眉 字符"/>
    <w:basedOn w:val="9"/>
    <w:link w:val="6"/>
    <w:qFormat/>
    <w:uiPriority w:val="0"/>
    <w:rPr>
      <w:rFonts w:eastAsia="Arial"/>
      <w:snapToGrid w:val="0"/>
      <w:color w:val="000000"/>
      <w:sz w:val="18"/>
      <w:szCs w:val="18"/>
      <w:lang w:eastAsia="en-US"/>
    </w:rPr>
  </w:style>
  <w:style w:type="character" w:customStyle="1" w:styleId="13">
    <w:name w:val="页脚 字符"/>
    <w:basedOn w:val="9"/>
    <w:link w:val="5"/>
    <w:qFormat/>
    <w:uiPriority w:val="0"/>
    <w:rPr>
      <w:rFonts w:eastAsia="Arial"/>
      <w:snapToGrid w:val="0"/>
      <w:color w:val="000000"/>
      <w:sz w:val="18"/>
      <w:szCs w:val="18"/>
      <w:lang w:eastAsia="en-US"/>
    </w:rPr>
  </w:style>
  <w:style w:type="character" w:customStyle="1" w:styleId="14">
    <w:name w:val="批注文字 字符"/>
    <w:basedOn w:val="9"/>
    <w:link w:val="2"/>
    <w:qFormat/>
    <w:uiPriority w:val="0"/>
    <w:rPr>
      <w:rFonts w:eastAsia="Arial"/>
      <w:snapToGrid w:val="0"/>
      <w:color w:val="000000"/>
      <w:sz w:val="21"/>
      <w:szCs w:val="21"/>
      <w:lang w:eastAsia="en-US"/>
    </w:rPr>
  </w:style>
  <w:style w:type="character" w:customStyle="1" w:styleId="15">
    <w:name w:val="批注主题 字符"/>
    <w:basedOn w:val="14"/>
    <w:link w:val="7"/>
    <w:qFormat/>
    <w:uiPriority w:val="0"/>
    <w:rPr>
      <w:rFonts w:eastAsia="Arial"/>
      <w:b/>
      <w:bCs/>
      <w:snapToGrid w:val="0"/>
      <w:color w:val="000000"/>
      <w:sz w:val="21"/>
      <w:szCs w:val="21"/>
      <w:lang w:eastAsia="en-US"/>
    </w:rPr>
  </w:style>
  <w:style w:type="character" w:customStyle="1" w:styleId="16">
    <w:name w:val="批注框文本 字符"/>
    <w:basedOn w:val="9"/>
    <w:link w:val="4"/>
    <w:qFormat/>
    <w:uiPriority w:val="0"/>
    <w:rPr>
      <w:rFonts w:eastAsia="Arial"/>
      <w:snapToGrid w:val="0"/>
      <w:color w:val="000000"/>
      <w:sz w:val="18"/>
      <w:szCs w:val="18"/>
      <w:lang w:eastAsia="en-US"/>
    </w:rPr>
  </w:style>
  <w:style w:type="character" w:customStyle="1" w:styleId="17">
    <w:name w:val="Subtle Reference"/>
    <w:basedOn w:val="9"/>
    <w:qFormat/>
    <w:uiPriority w:val="31"/>
    <w:rPr>
      <w:smallCaps/>
      <w:color w:val="595959" w:themeColor="text1" w:themeTint="A6"/>
      <w14:textFill>
        <w14:solidFill>
          <w14:schemeClr w14:val="tx1">
            <w14:lumMod w14:val="65000"/>
            <w14:lumOff w14:val="35000"/>
          </w14:schemeClr>
        </w14:solidFill>
      </w14:textFill>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4297</Words>
  <Characters>4312</Characters>
  <Lines>32</Lines>
  <Paragraphs>9</Paragraphs>
  <TotalTime>23</TotalTime>
  <ScaleCrop>false</ScaleCrop>
  <LinksUpToDate>false</LinksUpToDate>
  <CharactersWithSpaces>4359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2025-03-24T02:19:00Z</dcterms:created>
  <dc:creator>Kingsoft-PDF</dc:creator>
  <cp:lastModifiedBy>李沛高</cp:lastModifiedBy>
  <cp:lastPrinted>2025-03-24T01:14:00Z</cp:lastPrinted>
  <dcterms:modified xsi:type="dcterms:W3CDTF">2025-03-28T03:09:29Z</dcterms:modified>
  <dc:subject>pdfbuilder</dc:subject>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2024-11-16T15:38:32Z</vt:filetime>
  </property>
  <property fmtid="{D5CDD505-2E9C-101B-9397-08002B2CF9AE}" pid="4" name="UsrData">
    <vt:lpwstr>67384bf46631a7002093dfd6wl</vt:lpwstr>
  </property>
  <property fmtid="{D5CDD505-2E9C-101B-9397-08002B2CF9AE}" pid="5" name="KSOProductBuildVer">
    <vt:lpwstr>2052-12.1.0.20305</vt:lpwstr>
  </property>
  <property fmtid="{D5CDD505-2E9C-101B-9397-08002B2CF9AE}" pid="6" name="ICV">
    <vt:lpwstr>8FA048EE3ED345029E0747CECFE7469D_13</vt:lpwstr>
  </property>
  <property fmtid="{D5CDD505-2E9C-101B-9397-08002B2CF9AE}" pid="7" name="KSOTemplateDocerSaveRecord">
    <vt:lpwstr>eyJoZGlkIjoiMzQ5Y2RjMWViMDdlNTA3ZGQ1MGMwMjU2NWYxNWIxNjgiLCJ1c2VySWQiOiIzOTc2OTY2MzMifQ==</vt:lpwstr>
  </property>
</Properties>
</file>