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360" w:lineRule="auto"/>
        <w:rPr>
          <w:color w:val="auto"/>
          <w:szCs w:val="44"/>
        </w:rPr>
      </w:pPr>
      <w:r>
        <w:rPr>
          <w:rFonts w:hint="eastAsia"/>
          <w:szCs w:val="44"/>
        </w:rPr>
        <w:t xml:space="preserve"> </w:t>
      </w:r>
      <w:r>
        <w:rPr>
          <w:rFonts w:hint="eastAsia"/>
          <w:color w:val="auto"/>
          <w:szCs w:val="44"/>
        </w:rPr>
        <w:t xml:space="preserve"> </w:t>
      </w:r>
      <w:r>
        <w:rPr>
          <w:rFonts w:hint="eastAsia"/>
          <w:color w:val="auto"/>
          <w:szCs w:val="44"/>
          <w:lang w:val="en-US" w:eastAsia="zh-CN"/>
        </w:rPr>
        <w:t>新乡医学院货物（设备）</w:t>
      </w:r>
      <w:r>
        <w:rPr>
          <w:rFonts w:hint="eastAsia"/>
          <w:color w:val="auto"/>
          <w:szCs w:val="44"/>
        </w:rPr>
        <w:t>采购合同</w:t>
      </w:r>
    </w:p>
    <w:p>
      <w:pPr>
        <w:spacing w:line="360" w:lineRule="auto"/>
        <w:ind w:right="84" w:rightChars="40"/>
        <w:jc w:val="left"/>
        <w:rPr>
          <w:rFonts w:ascii="宋体" w:hAnsi="宋体"/>
          <w:color w:val="auto"/>
          <w:sz w:val="24"/>
        </w:rPr>
      </w:pPr>
      <w:r>
        <w:rPr>
          <w:rFonts w:hint="eastAsia" w:ascii="宋体" w:hAnsi="宋体"/>
          <w:color w:val="auto"/>
          <w:sz w:val="24"/>
        </w:rPr>
        <w:t xml:space="preserve">                                               合同编号：（采购编号）</w:t>
      </w:r>
    </w:p>
    <w:p>
      <w:pPr>
        <w:spacing w:line="360" w:lineRule="auto"/>
        <w:ind w:right="84" w:rightChars="40"/>
        <w:jc w:val="left"/>
        <w:rPr>
          <w:rFonts w:ascii="宋体" w:hAnsi="宋体"/>
          <w:color w:val="auto"/>
          <w:sz w:val="24"/>
        </w:rPr>
      </w:pPr>
      <w:r>
        <w:rPr>
          <w:rFonts w:hint="eastAsia" w:ascii="宋体" w:hAnsi="宋体"/>
          <w:color w:val="auto"/>
          <w:sz w:val="24"/>
        </w:rPr>
        <w:t xml:space="preserve">                                               签署地点：新乡医学院</w:t>
      </w:r>
    </w:p>
    <w:p>
      <w:pPr>
        <w:spacing w:line="360" w:lineRule="auto"/>
        <w:rPr>
          <w:rFonts w:ascii="宋体" w:hAnsi="宋体"/>
          <w:color w:val="auto"/>
          <w:sz w:val="24"/>
        </w:rPr>
      </w:pPr>
      <w:r>
        <w:rPr>
          <w:rFonts w:hint="eastAsia" w:ascii="宋体" w:hAnsi="宋体"/>
          <w:color w:val="auto"/>
          <w:sz w:val="24"/>
        </w:rPr>
        <w:t>甲方（需方）：新乡医学院</w:t>
      </w:r>
    </w:p>
    <w:p>
      <w:pPr>
        <w:spacing w:line="360" w:lineRule="auto"/>
        <w:rPr>
          <w:rFonts w:ascii="宋体" w:hAnsi="宋体"/>
          <w:color w:val="auto"/>
          <w:sz w:val="24"/>
          <w:u w:val="single"/>
        </w:rPr>
      </w:pPr>
      <w:r>
        <w:rPr>
          <w:rFonts w:hint="eastAsia" w:ascii="宋体" w:hAnsi="宋体"/>
          <w:color w:val="auto"/>
          <w:sz w:val="24"/>
        </w:rPr>
        <w:t>乙方（供方）：</w:t>
      </w:r>
      <w:r>
        <w:rPr>
          <w:rFonts w:hint="eastAsia" w:ascii="宋体" w:hAnsi="宋体"/>
          <w:color w:val="auto"/>
          <w:sz w:val="24"/>
          <w:u w:val="single"/>
        </w:rPr>
        <w:t xml:space="preserve">                       </w:t>
      </w:r>
    </w:p>
    <w:p>
      <w:pPr>
        <w:spacing w:line="360" w:lineRule="auto"/>
        <w:ind w:firstLine="480"/>
        <w:rPr>
          <w:color w:val="auto"/>
          <w:sz w:val="24"/>
        </w:rPr>
      </w:pPr>
      <w:r>
        <w:rPr>
          <w:rFonts w:hint="eastAsia" w:ascii="宋体" w:hAnsi="宋体"/>
          <w:color w:val="auto"/>
          <w:sz w:val="24"/>
        </w:rPr>
        <w:t>根据</w:t>
      </w:r>
      <w:r>
        <w:rPr>
          <w:rFonts w:hint="eastAsia"/>
          <w:color w:val="auto"/>
          <w:sz w:val="24"/>
          <w:u w:val="single"/>
        </w:rPr>
        <w:t xml:space="preserve">      （项目名称）                  </w:t>
      </w:r>
      <w:r>
        <w:rPr>
          <w:rFonts w:hint="eastAsia"/>
          <w:color w:val="auto"/>
          <w:sz w:val="24"/>
        </w:rPr>
        <w:t>的中标通知书和招标（采购）、投标（响应性）文件（或其他采购依据），经甲、乙双方协商，</w:t>
      </w:r>
      <w:r>
        <w:rPr>
          <w:rFonts w:hint="eastAsia" w:ascii="宋体" w:hAnsi="宋体"/>
          <w:color w:val="auto"/>
          <w:sz w:val="24"/>
        </w:rPr>
        <w:t>于</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r>
        <w:rPr>
          <w:rFonts w:hint="eastAsia"/>
          <w:color w:val="auto"/>
          <w:sz w:val="24"/>
        </w:rPr>
        <w:t>签订本合同。</w:t>
      </w:r>
    </w:p>
    <w:p>
      <w:pPr>
        <w:pStyle w:val="16"/>
        <w:numPr>
          <w:ilvl w:val="0"/>
          <w:numId w:val="1"/>
        </w:numPr>
        <w:spacing w:line="360" w:lineRule="auto"/>
        <w:ind w:firstLineChars="0"/>
        <w:jc w:val="left"/>
        <w:rPr>
          <w:rFonts w:ascii="宋体" w:hAnsi="宋体"/>
          <w:b/>
          <w:color w:val="auto"/>
          <w:sz w:val="24"/>
        </w:rPr>
      </w:pPr>
      <w:r>
        <w:rPr>
          <w:rFonts w:hint="eastAsia" w:ascii="宋体" w:hAnsi="宋体"/>
          <w:b/>
          <w:color w:val="auto"/>
          <w:sz w:val="24"/>
        </w:rPr>
        <w:t>产品（</w:t>
      </w:r>
      <w:r>
        <w:rPr>
          <w:rFonts w:hint="eastAsia" w:ascii="宋体" w:hAnsi="宋体" w:cs="宋体"/>
          <w:b/>
          <w:color w:val="auto"/>
          <w:kern w:val="0"/>
          <w:sz w:val="24"/>
        </w:rPr>
        <w:t>货物或设备</w:t>
      </w:r>
      <w:r>
        <w:rPr>
          <w:rFonts w:hint="eastAsia" w:ascii="宋体" w:hAnsi="宋体"/>
          <w:b/>
          <w:color w:val="auto"/>
          <w:sz w:val="24"/>
        </w:rPr>
        <w:t>）明细及报价表</w:t>
      </w:r>
    </w:p>
    <w:tbl>
      <w:tblPr>
        <w:tblStyle w:val="9"/>
        <w:tblW w:w="9524"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2027"/>
        <w:gridCol w:w="1425"/>
        <w:gridCol w:w="1065"/>
        <w:gridCol w:w="810"/>
        <w:gridCol w:w="945"/>
        <w:gridCol w:w="600"/>
        <w:gridCol w:w="825"/>
        <w:gridCol w:w="735"/>
        <w:gridCol w:w="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567" w:type="dxa"/>
            <w:vAlign w:val="center"/>
          </w:tcPr>
          <w:p>
            <w:pPr>
              <w:widowControl/>
              <w:jc w:val="center"/>
              <w:rPr>
                <w:rFonts w:ascii="宋体" w:hAnsi="宋体" w:cs="宋体"/>
                <w:b/>
                <w:color w:val="auto"/>
                <w:kern w:val="0"/>
                <w:sz w:val="24"/>
              </w:rPr>
            </w:pPr>
            <w:r>
              <w:rPr>
                <w:rFonts w:hint="eastAsia" w:ascii="宋体" w:hAnsi="宋体" w:cs="宋体"/>
                <w:b/>
                <w:color w:val="auto"/>
                <w:kern w:val="0"/>
                <w:sz w:val="24"/>
              </w:rPr>
              <w:t>序</w:t>
            </w:r>
          </w:p>
          <w:p>
            <w:pPr>
              <w:widowControl/>
              <w:jc w:val="center"/>
              <w:rPr>
                <w:rFonts w:ascii="宋体" w:cs="宋体"/>
                <w:b/>
                <w:color w:val="auto"/>
                <w:kern w:val="0"/>
                <w:sz w:val="24"/>
              </w:rPr>
            </w:pPr>
            <w:r>
              <w:rPr>
                <w:rFonts w:hint="eastAsia" w:ascii="宋体" w:hAnsi="宋体" w:cs="宋体"/>
                <w:b/>
                <w:color w:val="auto"/>
                <w:kern w:val="0"/>
                <w:sz w:val="24"/>
              </w:rPr>
              <w:t>号</w:t>
            </w:r>
          </w:p>
        </w:tc>
        <w:tc>
          <w:tcPr>
            <w:tcW w:w="2027" w:type="dxa"/>
            <w:vAlign w:val="center"/>
          </w:tcPr>
          <w:p>
            <w:pPr>
              <w:widowControl/>
              <w:jc w:val="center"/>
              <w:rPr>
                <w:rFonts w:ascii="宋体" w:hAnsi="宋体" w:cs="宋体"/>
                <w:b/>
                <w:color w:val="auto"/>
                <w:kern w:val="0"/>
                <w:sz w:val="24"/>
              </w:rPr>
            </w:pPr>
            <w:r>
              <w:rPr>
                <w:rFonts w:hint="eastAsia" w:ascii="宋体" w:hAnsi="宋体" w:cs="宋体"/>
                <w:b/>
                <w:color w:val="auto"/>
                <w:kern w:val="0"/>
                <w:sz w:val="24"/>
              </w:rPr>
              <w:t>产品名称</w:t>
            </w:r>
          </w:p>
          <w:p>
            <w:pPr>
              <w:widowControl/>
              <w:jc w:val="center"/>
              <w:rPr>
                <w:rFonts w:ascii="宋体" w:hAnsi="宋体" w:cs="宋体"/>
                <w:b/>
                <w:color w:val="auto"/>
                <w:kern w:val="0"/>
                <w:sz w:val="24"/>
              </w:rPr>
            </w:pPr>
            <w:r>
              <w:rPr>
                <w:rFonts w:hint="eastAsia" w:ascii="宋体" w:hAnsi="宋体" w:cs="宋体"/>
                <w:b/>
                <w:color w:val="auto"/>
                <w:kern w:val="0"/>
                <w:sz w:val="20"/>
              </w:rPr>
              <w:t>（进口设备须标明英文名）</w:t>
            </w:r>
          </w:p>
        </w:tc>
        <w:tc>
          <w:tcPr>
            <w:tcW w:w="1425" w:type="dxa"/>
            <w:vAlign w:val="center"/>
          </w:tcPr>
          <w:p>
            <w:pPr>
              <w:widowControl/>
              <w:jc w:val="center"/>
              <w:rPr>
                <w:rFonts w:ascii="宋体" w:cs="宋体"/>
                <w:b/>
                <w:color w:val="auto"/>
                <w:kern w:val="0"/>
                <w:sz w:val="24"/>
              </w:rPr>
            </w:pPr>
            <w:r>
              <w:rPr>
                <w:rFonts w:hint="eastAsia" w:ascii="宋体" w:hAnsi="宋体" w:cs="宋体"/>
                <w:b/>
                <w:color w:val="auto"/>
                <w:kern w:val="0"/>
                <w:sz w:val="24"/>
              </w:rPr>
              <w:t>品牌/型号</w:t>
            </w:r>
          </w:p>
        </w:tc>
        <w:tc>
          <w:tcPr>
            <w:tcW w:w="1065" w:type="dxa"/>
            <w:vAlign w:val="center"/>
          </w:tcPr>
          <w:p>
            <w:pPr>
              <w:widowControl/>
              <w:jc w:val="center"/>
              <w:rPr>
                <w:rFonts w:ascii="宋体" w:cs="宋体"/>
                <w:b/>
                <w:color w:val="auto"/>
                <w:kern w:val="0"/>
                <w:sz w:val="24"/>
              </w:rPr>
            </w:pPr>
            <w:r>
              <w:rPr>
                <w:rFonts w:hint="eastAsia" w:ascii="宋体" w:hAnsi="宋体" w:cs="宋体"/>
                <w:b/>
                <w:color w:val="auto"/>
                <w:kern w:val="0"/>
                <w:sz w:val="24"/>
              </w:rPr>
              <w:t>制造厂（商）</w:t>
            </w:r>
          </w:p>
        </w:tc>
        <w:tc>
          <w:tcPr>
            <w:tcW w:w="810" w:type="dxa"/>
            <w:vAlign w:val="center"/>
          </w:tcPr>
          <w:p>
            <w:pPr>
              <w:widowControl/>
              <w:jc w:val="center"/>
              <w:rPr>
                <w:rFonts w:ascii="宋体" w:cs="宋体"/>
                <w:b/>
                <w:color w:val="auto"/>
                <w:kern w:val="0"/>
                <w:sz w:val="24"/>
              </w:rPr>
            </w:pPr>
            <w:r>
              <w:rPr>
                <w:rFonts w:ascii="宋体" w:cs="宋体"/>
                <w:b/>
                <w:color w:val="auto"/>
                <w:kern w:val="0"/>
                <w:sz w:val="24"/>
              </w:rPr>
              <w:t>产地</w:t>
            </w:r>
          </w:p>
        </w:tc>
        <w:tc>
          <w:tcPr>
            <w:tcW w:w="945" w:type="dxa"/>
            <w:vAlign w:val="center"/>
          </w:tcPr>
          <w:p>
            <w:pPr>
              <w:widowControl/>
              <w:jc w:val="center"/>
              <w:rPr>
                <w:rFonts w:ascii="宋体" w:cs="宋体"/>
                <w:b/>
                <w:color w:val="auto"/>
                <w:kern w:val="0"/>
                <w:sz w:val="24"/>
              </w:rPr>
            </w:pPr>
            <w:r>
              <w:rPr>
                <w:rFonts w:ascii="宋体" w:cs="宋体"/>
                <w:b/>
                <w:color w:val="auto"/>
                <w:kern w:val="0"/>
                <w:sz w:val="24"/>
              </w:rPr>
              <w:t>单位</w:t>
            </w:r>
          </w:p>
        </w:tc>
        <w:tc>
          <w:tcPr>
            <w:tcW w:w="600" w:type="dxa"/>
            <w:vAlign w:val="center"/>
          </w:tcPr>
          <w:p>
            <w:pPr>
              <w:widowControl/>
              <w:jc w:val="center"/>
              <w:rPr>
                <w:rFonts w:ascii="宋体" w:hAnsi="宋体" w:cs="宋体"/>
                <w:b/>
                <w:color w:val="auto"/>
                <w:kern w:val="0"/>
                <w:sz w:val="24"/>
              </w:rPr>
            </w:pPr>
            <w:r>
              <w:rPr>
                <w:rFonts w:hint="eastAsia" w:ascii="宋体" w:hAnsi="宋体" w:cs="宋体"/>
                <w:b/>
                <w:color w:val="auto"/>
                <w:kern w:val="0"/>
                <w:sz w:val="24"/>
              </w:rPr>
              <w:t>数量</w:t>
            </w:r>
          </w:p>
        </w:tc>
        <w:tc>
          <w:tcPr>
            <w:tcW w:w="825" w:type="dxa"/>
            <w:vAlign w:val="center"/>
          </w:tcPr>
          <w:p>
            <w:pPr>
              <w:widowControl/>
              <w:jc w:val="center"/>
              <w:rPr>
                <w:rFonts w:ascii="宋体" w:cs="宋体"/>
                <w:b/>
                <w:color w:val="auto"/>
                <w:kern w:val="0"/>
                <w:sz w:val="24"/>
              </w:rPr>
            </w:pPr>
            <w:r>
              <w:rPr>
                <w:rFonts w:hint="eastAsia" w:ascii="宋体" w:hAnsi="宋体" w:cs="宋体"/>
                <w:b/>
                <w:color w:val="auto"/>
                <w:kern w:val="0"/>
                <w:sz w:val="24"/>
              </w:rPr>
              <w:t>单价（元）</w:t>
            </w:r>
          </w:p>
        </w:tc>
        <w:tc>
          <w:tcPr>
            <w:tcW w:w="735" w:type="dxa"/>
            <w:vAlign w:val="center"/>
          </w:tcPr>
          <w:p>
            <w:pPr>
              <w:widowControl/>
              <w:jc w:val="center"/>
              <w:rPr>
                <w:rFonts w:ascii="宋体" w:cs="宋体"/>
                <w:b/>
                <w:color w:val="auto"/>
                <w:kern w:val="0"/>
                <w:sz w:val="24"/>
              </w:rPr>
            </w:pPr>
            <w:r>
              <w:rPr>
                <w:rFonts w:hint="eastAsia" w:ascii="宋体" w:hAnsi="宋体" w:cs="宋体"/>
                <w:b/>
                <w:color w:val="auto"/>
                <w:kern w:val="0"/>
                <w:sz w:val="24"/>
              </w:rPr>
              <w:t>合计（元）</w:t>
            </w:r>
          </w:p>
        </w:tc>
        <w:tc>
          <w:tcPr>
            <w:tcW w:w="525" w:type="dxa"/>
            <w:vAlign w:val="center"/>
          </w:tcPr>
          <w:p>
            <w:pPr>
              <w:widowControl/>
              <w:jc w:val="center"/>
              <w:rPr>
                <w:rFonts w:ascii="宋体" w:cs="宋体"/>
                <w:b/>
                <w:color w:val="auto"/>
                <w:kern w:val="0"/>
                <w:sz w:val="24"/>
              </w:rPr>
            </w:pPr>
            <w:r>
              <w:rPr>
                <w:rFonts w:hint="eastAsia" w:ascii="宋体" w:hAnsi="宋体" w:cs="宋体"/>
                <w:b/>
                <w:color w:val="auto"/>
                <w:kern w:val="0"/>
                <w:sz w:val="24"/>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7" w:type="dxa"/>
            <w:vAlign w:val="center"/>
          </w:tcPr>
          <w:p>
            <w:pPr>
              <w:widowControl/>
              <w:spacing w:line="360" w:lineRule="auto"/>
              <w:jc w:val="center"/>
              <w:rPr>
                <w:rFonts w:ascii="宋体" w:cs="宋体"/>
                <w:color w:val="auto"/>
                <w:kern w:val="0"/>
                <w:sz w:val="24"/>
              </w:rPr>
            </w:pPr>
            <w:r>
              <w:rPr>
                <w:rFonts w:ascii="宋体" w:hAnsi="宋体" w:cs="宋体"/>
                <w:color w:val="auto"/>
                <w:kern w:val="0"/>
                <w:sz w:val="24"/>
              </w:rPr>
              <w:t>1</w:t>
            </w:r>
          </w:p>
        </w:tc>
        <w:tc>
          <w:tcPr>
            <w:tcW w:w="2027" w:type="dxa"/>
            <w:vAlign w:val="center"/>
          </w:tcPr>
          <w:p>
            <w:pPr>
              <w:widowControl/>
              <w:spacing w:line="360" w:lineRule="auto"/>
              <w:jc w:val="center"/>
              <w:rPr>
                <w:rFonts w:ascii="宋体" w:cs="宋体"/>
                <w:color w:val="auto"/>
                <w:kern w:val="0"/>
                <w:sz w:val="24"/>
              </w:rPr>
            </w:pPr>
          </w:p>
        </w:tc>
        <w:tc>
          <w:tcPr>
            <w:tcW w:w="1425" w:type="dxa"/>
            <w:vAlign w:val="center"/>
          </w:tcPr>
          <w:p>
            <w:pPr>
              <w:widowControl/>
              <w:spacing w:line="360" w:lineRule="auto"/>
              <w:jc w:val="center"/>
              <w:rPr>
                <w:rFonts w:ascii="宋体" w:cs="宋体"/>
                <w:color w:val="auto"/>
                <w:kern w:val="0"/>
                <w:sz w:val="24"/>
              </w:rPr>
            </w:pPr>
          </w:p>
        </w:tc>
        <w:tc>
          <w:tcPr>
            <w:tcW w:w="1065" w:type="dxa"/>
            <w:vAlign w:val="center"/>
          </w:tcPr>
          <w:p>
            <w:pPr>
              <w:widowControl/>
              <w:spacing w:line="360" w:lineRule="auto"/>
              <w:jc w:val="center"/>
              <w:rPr>
                <w:rFonts w:ascii="宋体" w:cs="宋体"/>
                <w:color w:val="auto"/>
                <w:kern w:val="0"/>
                <w:sz w:val="24"/>
              </w:rPr>
            </w:pPr>
          </w:p>
        </w:tc>
        <w:tc>
          <w:tcPr>
            <w:tcW w:w="810" w:type="dxa"/>
          </w:tcPr>
          <w:p>
            <w:pPr>
              <w:widowControl/>
              <w:spacing w:line="360" w:lineRule="auto"/>
              <w:jc w:val="center"/>
              <w:rPr>
                <w:rFonts w:ascii="宋体" w:cs="宋体"/>
                <w:color w:val="auto"/>
                <w:kern w:val="0"/>
                <w:sz w:val="24"/>
              </w:rPr>
            </w:pPr>
          </w:p>
        </w:tc>
        <w:tc>
          <w:tcPr>
            <w:tcW w:w="945" w:type="dxa"/>
            <w:vAlign w:val="center"/>
          </w:tcPr>
          <w:p>
            <w:pPr>
              <w:widowControl/>
              <w:spacing w:line="360" w:lineRule="auto"/>
              <w:jc w:val="center"/>
              <w:rPr>
                <w:rFonts w:ascii="宋体" w:cs="宋体"/>
                <w:color w:val="auto"/>
                <w:kern w:val="0"/>
                <w:sz w:val="24"/>
              </w:rPr>
            </w:pPr>
          </w:p>
        </w:tc>
        <w:tc>
          <w:tcPr>
            <w:tcW w:w="600" w:type="dxa"/>
            <w:vAlign w:val="center"/>
          </w:tcPr>
          <w:p>
            <w:pPr>
              <w:widowControl/>
              <w:spacing w:line="360" w:lineRule="auto"/>
              <w:jc w:val="center"/>
              <w:rPr>
                <w:rFonts w:ascii="宋体" w:cs="宋体"/>
                <w:color w:val="auto"/>
                <w:kern w:val="0"/>
                <w:sz w:val="24"/>
              </w:rPr>
            </w:pPr>
          </w:p>
        </w:tc>
        <w:tc>
          <w:tcPr>
            <w:tcW w:w="825" w:type="dxa"/>
            <w:vAlign w:val="center"/>
          </w:tcPr>
          <w:p>
            <w:pPr>
              <w:widowControl/>
              <w:spacing w:line="360" w:lineRule="auto"/>
              <w:jc w:val="center"/>
              <w:rPr>
                <w:rFonts w:ascii="宋体" w:cs="宋体"/>
                <w:color w:val="auto"/>
                <w:kern w:val="0"/>
                <w:sz w:val="24"/>
              </w:rPr>
            </w:pPr>
          </w:p>
        </w:tc>
        <w:tc>
          <w:tcPr>
            <w:tcW w:w="735" w:type="dxa"/>
            <w:vAlign w:val="center"/>
          </w:tcPr>
          <w:p>
            <w:pPr>
              <w:widowControl/>
              <w:spacing w:line="360" w:lineRule="auto"/>
              <w:jc w:val="center"/>
              <w:rPr>
                <w:rFonts w:ascii="宋体" w:cs="宋体"/>
                <w:color w:val="auto"/>
                <w:kern w:val="0"/>
                <w:sz w:val="24"/>
              </w:rPr>
            </w:pPr>
          </w:p>
        </w:tc>
        <w:tc>
          <w:tcPr>
            <w:tcW w:w="525" w:type="dxa"/>
            <w:noWrap/>
            <w:vAlign w:val="center"/>
          </w:tcPr>
          <w:p>
            <w:pPr>
              <w:widowControl/>
              <w:spacing w:line="360" w:lineRule="auto"/>
              <w:jc w:val="center"/>
              <w:rPr>
                <w:rFonts w:ascii="宋体" w:cs="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7" w:type="dxa"/>
            <w:vAlign w:val="center"/>
          </w:tcPr>
          <w:p>
            <w:pPr>
              <w:widowControl/>
              <w:spacing w:line="360" w:lineRule="auto"/>
              <w:jc w:val="center"/>
              <w:rPr>
                <w:rFonts w:ascii="宋体" w:cs="宋体"/>
                <w:color w:val="auto"/>
                <w:kern w:val="0"/>
                <w:sz w:val="24"/>
              </w:rPr>
            </w:pPr>
            <w:r>
              <w:rPr>
                <w:rFonts w:ascii="宋体" w:hAnsi="宋体" w:cs="宋体"/>
                <w:color w:val="auto"/>
                <w:kern w:val="0"/>
                <w:sz w:val="24"/>
              </w:rPr>
              <w:t>2</w:t>
            </w:r>
          </w:p>
        </w:tc>
        <w:tc>
          <w:tcPr>
            <w:tcW w:w="2027" w:type="dxa"/>
            <w:vAlign w:val="center"/>
          </w:tcPr>
          <w:p>
            <w:pPr>
              <w:widowControl/>
              <w:spacing w:line="360" w:lineRule="auto"/>
              <w:jc w:val="center"/>
              <w:rPr>
                <w:rFonts w:ascii="宋体" w:cs="宋体"/>
                <w:color w:val="auto"/>
                <w:kern w:val="0"/>
                <w:sz w:val="24"/>
              </w:rPr>
            </w:pPr>
          </w:p>
        </w:tc>
        <w:tc>
          <w:tcPr>
            <w:tcW w:w="1425" w:type="dxa"/>
            <w:vAlign w:val="center"/>
          </w:tcPr>
          <w:p>
            <w:pPr>
              <w:widowControl/>
              <w:spacing w:line="360" w:lineRule="auto"/>
              <w:jc w:val="center"/>
              <w:rPr>
                <w:rFonts w:ascii="宋体" w:cs="宋体"/>
                <w:color w:val="auto"/>
                <w:kern w:val="0"/>
                <w:sz w:val="24"/>
              </w:rPr>
            </w:pPr>
          </w:p>
        </w:tc>
        <w:tc>
          <w:tcPr>
            <w:tcW w:w="1065" w:type="dxa"/>
            <w:vAlign w:val="center"/>
          </w:tcPr>
          <w:p>
            <w:pPr>
              <w:widowControl/>
              <w:spacing w:line="360" w:lineRule="auto"/>
              <w:jc w:val="center"/>
              <w:rPr>
                <w:rFonts w:ascii="宋体" w:cs="宋体"/>
                <w:color w:val="auto"/>
                <w:kern w:val="0"/>
                <w:sz w:val="24"/>
              </w:rPr>
            </w:pPr>
          </w:p>
        </w:tc>
        <w:tc>
          <w:tcPr>
            <w:tcW w:w="810" w:type="dxa"/>
          </w:tcPr>
          <w:p>
            <w:pPr>
              <w:widowControl/>
              <w:spacing w:line="360" w:lineRule="auto"/>
              <w:jc w:val="center"/>
              <w:rPr>
                <w:rFonts w:ascii="宋体" w:cs="宋体"/>
                <w:color w:val="auto"/>
                <w:kern w:val="0"/>
                <w:sz w:val="24"/>
              </w:rPr>
            </w:pPr>
          </w:p>
        </w:tc>
        <w:tc>
          <w:tcPr>
            <w:tcW w:w="945" w:type="dxa"/>
            <w:vAlign w:val="center"/>
          </w:tcPr>
          <w:p>
            <w:pPr>
              <w:widowControl/>
              <w:spacing w:line="360" w:lineRule="auto"/>
              <w:jc w:val="center"/>
              <w:rPr>
                <w:rFonts w:ascii="宋体" w:cs="宋体"/>
                <w:color w:val="auto"/>
                <w:kern w:val="0"/>
                <w:sz w:val="24"/>
              </w:rPr>
            </w:pPr>
          </w:p>
        </w:tc>
        <w:tc>
          <w:tcPr>
            <w:tcW w:w="600" w:type="dxa"/>
            <w:vAlign w:val="center"/>
          </w:tcPr>
          <w:p>
            <w:pPr>
              <w:widowControl/>
              <w:spacing w:line="360" w:lineRule="auto"/>
              <w:jc w:val="center"/>
              <w:rPr>
                <w:rFonts w:ascii="宋体" w:cs="宋体"/>
                <w:color w:val="auto"/>
                <w:kern w:val="0"/>
                <w:sz w:val="24"/>
              </w:rPr>
            </w:pPr>
          </w:p>
        </w:tc>
        <w:tc>
          <w:tcPr>
            <w:tcW w:w="825" w:type="dxa"/>
            <w:vAlign w:val="center"/>
          </w:tcPr>
          <w:p>
            <w:pPr>
              <w:widowControl/>
              <w:spacing w:line="360" w:lineRule="auto"/>
              <w:jc w:val="center"/>
              <w:rPr>
                <w:rFonts w:ascii="宋体" w:cs="宋体"/>
                <w:color w:val="auto"/>
                <w:kern w:val="0"/>
                <w:sz w:val="24"/>
              </w:rPr>
            </w:pPr>
          </w:p>
        </w:tc>
        <w:tc>
          <w:tcPr>
            <w:tcW w:w="735" w:type="dxa"/>
            <w:vAlign w:val="center"/>
          </w:tcPr>
          <w:p>
            <w:pPr>
              <w:widowControl/>
              <w:spacing w:line="360" w:lineRule="auto"/>
              <w:jc w:val="center"/>
              <w:rPr>
                <w:rFonts w:ascii="宋体" w:cs="宋体"/>
                <w:color w:val="auto"/>
                <w:kern w:val="0"/>
                <w:sz w:val="24"/>
              </w:rPr>
            </w:pPr>
          </w:p>
        </w:tc>
        <w:tc>
          <w:tcPr>
            <w:tcW w:w="525" w:type="dxa"/>
            <w:noWrap/>
            <w:vAlign w:val="center"/>
          </w:tcPr>
          <w:p>
            <w:pPr>
              <w:widowControl/>
              <w:spacing w:line="360" w:lineRule="auto"/>
              <w:jc w:val="center"/>
              <w:rPr>
                <w:rFonts w:ascii="宋体" w:cs="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7" w:type="dxa"/>
            <w:vAlign w:val="center"/>
          </w:tcPr>
          <w:p>
            <w:pPr>
              <w:widowControl/>
              <w:spacing w:line="360" w:lineRule="auto"/>
              <w:jc w:val="center"/>
              <w:rPr>
                <w:rFonts w:ascii="宋体" w:cs="宋体"/>
                <w:color w:val="auto"/>
                <w:kern w:val="0"/>
                <w:sz w:val="24"/>
              </w:rPr>
            </w:pPr>
            <w:r>
              <w:rPr>
                <w:rFonts w:ascii="宋体" w:hAnsi="宋体" w:cs="宋体"/>
                <w:color w:val="auto"/>
                <w:kern w:val="0"/>
                <w:sz w:val="24"/>
              </w:rPr>
              <w:t>3</w:t>
            </w:r>
          </w:p>
        </w:tc>
        <w:tc>
          <w:tcPr>
            <w:tcW w:w="2027" w:type="dxa"/>
            <w:vAlign w:val="center"/>
          </w:tcPr>
          <w:p>
            <w:pPr>
              <w:widowControl/>
              <w:spacing w:line="360" w:lineRule="auto"/>
              <w:jc w:val="center"/>
              <w:rPr>
                <w:rFonts w:ascii="宋体" w:cs="宋体"/>
                <w:color w:val="auto"/>
                <w:kern w:val="0"/>
                <w:sz w:val="24"/>
              </w:rPr>
            </w:pPr>
          </w:p>
        </w:tc>
        <w:tc>
          <w:tcPr>
            <w:tcW w:w="1425" w:type="dxa"/>
            <w:vAlign w:val="center"/>
          </w:tcPr>
          <w:p>
            <w:pPr>
              <w:widowControl/>
              <w:spacing w:line="360" w:lineRule="auto"/>
              <w:jc w:val="center"/>
              <w:rPr>
                <w:rFonts w:ascii="宋体" w:cs="宋体"/>
                <w:color w:val="auto"/>
                <w:kern w:val="0"/>
                <w:sz w:val="24"/>
              </w:rPr>
            </w:pPr>
          </w:p>
        </w:tc>
        <w:tc>
          <w:tcPr>
            <w:tcW w:w="1065" w:type="dxa"/>
            <w:vAlign w:val="center"/>
          </w:tcPr>
          <w:p>
            <w:pPr>
              <w:widowControl/>
              <w:spacing w:line="360" w:lineRule="auto"/>
              <w:jc w:val="center"/>
              <w:rPr>
                <w:rFonts w:ascii="宋体" w:cs="宋体"/>
                <w:color w:val="auto"/>
                <w:kern w:val="0"/>
                <w:sz w:val="24"/>
              </w:rPr>
            </w:pPr>
          </w:p>
        </w:tc>
        <w:tc>
          <w:tcPr>
            <w:tcW w:w="810" w:type="dxa"/>
          </w:tcPr>
          <w:p>
            <w:pPr>
              <w:widowControl/>
              <w:spacing w:line="360" w:lineRule="auto"/>
              <w:jc w:val="center"/>
              <w:rPr>
                <w:rFonts w:ascii="宋体" w:cs="宋体"/>
                <w:color w:val="auto"/>
                <w:kern w:val="0"/>
                <w:sz w:val="24"/>
              </w:rPr>
            </w:pPr>
          </w:p>
        </w:tc>
        <w:tc>
          <w:tcPr>
            <w:tcW w:w="945" w:type="dxa"/>
            <w:vAlign w:val="center"/>
          </w:tcPr>
          <w:p>
            <w:pPr>
              <w:widowControl/>
              <w:spacing w:line="360" w:lineRule="auto"/>
              <w:jc w:val="center"/>
              <w:rPr>
                <w:rFonts w:ascii="宋体" w:cs="宋体"/>
                <w:color w:val="auto"/>
                <w:kern w:val="0"/>
                <w:sz w:val="24"/>
              </w:rPr>
            </w:pPr>
          </w:p>
        </w:tc>
        <w:tc>
          <w:tcPr>
            <w:tcW w:w="600" w:type="dxa"/>
            <w:vAlign w:val="center"/>
          </w:tcPr>
          <w:p>
            <w:pPr>
              <w:widowControl/>
              <w:spacing w:line="360" w:lineRule="auto"/>
              <w:jc w:val="center"/>
              <w:rPr>
                <w:rFonts w:ascii="宋体" w:cs="宋体"/>
                <w:color w:val="auto"/>
                <w:kern w:val="0"/>
                <w:sz w:val="24"/>
              </w:rPr>
            </w:pPr>
          </w:p>
        </w:tc>
        <w:tc>
          <w:tcPr>
            <w:tcW w:w="825" w:type="dxa"/>
            <w:vAlign w:val="center"/>
          </w:tcPr>
          <w:p>
            <w:pPr>
              <w:widowControl/>
              <w:spacing w:line="360" w:lineRule="auto"/>
              <w:jc w:val="center"/>
              <w:rPr>
                <w:rFonts w:ascii="宋体" w:cs="宋体"/>
                <w:color w:val="auto"/>
                <w:kern w:val="0"/>
                <w:sz w:val="24"/>
              </w:rPr>
            </w:pPr>
          </w:p>
        </w:tc>
        <w:tc>
          <w:tcPr>
            <w:tcW w:w="735" w:type="dxa"/>
            <w:vAlign w:val="center"/>
          </w:tcPr>
          <w:p>
            <w:pPr>
              <w:widowControl/>
              <w:spacing w:line="360" w:lineRule="auto"/>
              <w:jc w:val="center"/>
              <w:rPr>
                <w:rFonts w:ascii="宋体" w:cs="宋体"/>
                <w:color w:val="auto"/>
                <w:kern w:val="0"/>
                <w:sz w:val="24"/>
              </w:rPr>
            </w:pPr>
          </w:p>
        </w:tc>
        <w:tc>
          <w:tcPr>
            <w:tcW w:w="525" w:type="dxa"/>
            <w:vAlign w:val="center"/>
          </w:tcPr>
          <w:p>
            <w:pPr>
              <w:widowControl/>
              <w:spacing w:line="360" w:lineRule="auto"/>
              <w:jc w:val="center"/>
              <w:rPr>
                <w:rFonts w:ascii="宋体" w:cs="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7" w:type="dxa"/>
            <w:vAlign w:val="center"/>
          </w:tcPr>
          <w:p>
            <w:pPr>
              <w:widowControl/>
              <w:spacing w:line="360" w:lineRule="auto"/>
              <w:jc w:val="center"/>
              <w:rPr>
                <w:rFonts w:ascii="宋体" w:cs="宋体"/>
                <w:color w:val="auto"/>
                <w:kern w:val="0"/>
                <w:sz w:val="24"/>
              </w:rPr>
            </w:pPr>
            <w:r>
              <w:rPr>
                <w:rFonts w:ascii="宋体" w:hAnsi="宋体" w:cs="宋体"/>
                <w:color w:val="auto"/>
                <w:kern w:val="0"/>
                <w:sz w:val="24"/>
              </w:rPr>
              <w:t>…</w:t>
            </w:r>
          </w:p>
        </w:tc>
        <w:tc>
          <w:tcPr>
            <w:tcW w:w="2027" w:type="dxa"/>
            <w:vAlign w:val="center"/>
          </w:tcPr>
          <w:p>
            <w:pPr>
              <w:widowControl/>
              <w:spacing w:line="360" w:lineRule="auto"/>
              <w:jc w:val="center"/>
              <w:rPr>
                <w:rFonts w:ascii="宋体" w:cs="宋体"/>
                <w:color w:val="auto"/>
                <w:kern w:val="0"/>
                <w:sz w:val="24"/>
              </w:rPr>
            </w:pPr>
          </w:p>
        </w:tc>
        <w:tc>
          <w:tcPr>
            <w:tcW w:w="1425" w:type="dxa"/>
            <w:vAlign w:val="center"/>
          </w:tcPr>
          <w:p>
            <w:pPr>
              <w:widowControl/>
              <w:spacing w:line="360" w:lineRule="auto"/>
              <w:jc w:val="center"/>
              <w:rPr>
                <w:rFonts w:ascii="宋体" w:cs="宋体"/>
                <w:color w:val="auto"/>
                <w:kern w:val="0"/>
                <w:sz w:val="24"/>
              </w:rPr>
            </w:pPr>
          </w:p>
        </w:tc>
        <w:tc>
          <w:tcPr>
            <w:tcW w:w="1065" w:type="dxa"/>
            <w:vAlign w:val="center"/>
          </w:tcPr>
          <w:p>
            <w:pPr>
              <w:widowControl/>
              <w:spacing w:line="360" w:lineRule="auto"/>
              <w:jc w:val="center"/>
              <w:rPr>
                <w:rFonts w:ascii="宋体" w:cs="宋体"/>
                <w:color w:val="auto"/>
                <w:kern w:val="0"/>
                <w:sz w:val="24"/>
              </w:rPr>
            </w:pPr>
          </w:p>
        </w:tc>
        <w:tc>
          <w:tcPr>
            <w:tcW w:w="810" w:type="dxa"/>
          </w:tcPr>
          <w:p>
            <w:pPr>
              <w:widowControl/>
              <w:spacing w:line="360" w:lineRule="auto"/>
              <w:jc w:val="center"/>
              <w:rPr>
                <w:rFonts w:ascii="宋体" w:cs="宋体"/>
                <w:color w:val="auto"/>
                <w:kern w:val="0"/>
                <w:sz w:val="24"/>
              </w:rPr>
            </w:pPr>
          </w:p>
        </w:tc>
        <w:tc>
          <w:tcPr>
            <w:tcW w:w="945" w:type="dxa"/>
            <w:vAlign w:val="center"/>
          </w:tcPr>
          <w:p>
            <w:pPr>
              <w:widowControl/>
              <w:spacing w:line="360" w:lineRule="auto"/>
              <w:jc w:val="center"/>
              <w:rPr>
                <w:rFonts w:ascii="宋体" w:cs="宋体"/>
                <w:color w:val="auto"/>
                <w:kern w:val="0"/>
                <w:sz w:val="24"/>
              </w:rPr>
            </w:pPr>
          </w:p>
        </w:tc>
        <w:tc>
          <w:tcPr>
            <w:tcW w:w="600" w:type="dxa"/>
            <w:vAlign w:val="center"/>
          </w:tcPr>
          <w:p>
            <w:pPr>
              <w:widowControl/>
              <w:spacing w:line="360" w:lineRule="auto"/>
              <w:jc w:val="center"/>
              <w:rPr>
                <w:rFonts w:ascii="宋体" w:cs="宋体"/>
                <w:color w:val="auto"/>
                <w:kern w:val="0"/>
                <w:sz w:val="24"/>
              </w:rPr>
            </w:pPr>
          </w:p>
        </w:tc>
        <w:tc>
          <w:tcPr>
            <w:tcW w:w="825" w:type="dxa"/>
            <w:vAlign w:val="center"/>
          </w:tcPr>
          <w:p>
            <w:pPr>
              <w:widowControl/>
              <w:spacing w:line="360" w:lineRule="auto"/>
              <w:jc w:val="center"/>
              <w:rPr>
                <w:rFonts w:ascii="宋体" w:cs="宋体"/>
                <w:color w:val="auto"/>
                <w:kern w:val="0"/>
                <w:sz w:val="24"/>
              </w:rPr>
            </w:pPr>
          </w:p>
        </w:tc>
        <w:tc>
          <w:tcPr>
            <w:tcW w:w="735" w:type="dxa"/>
            <w:vAlign w:val="center"/>
          </w:tcPr>
          <w:p>
            <w:pPr>
              <w:widowControl/>
              <w:spacing w:line="360" w:lineRule="auto"/>
              <w:jc w:val="center"/>
              <w:rPr>
                <w:rFonts w:ascii="宋体" w:cs="宋体"/>
                <w:color w:val="auto"/>
                <w:kern w:val="0"/>
                <w:sz w:val="24"/>
              </w:rPr>
            </w:pPr>
          </w:p>
        </w:tc>
        <w:tc>
          <w:tcPr>
            <w:tcW w:w="525" w:type="dxa"/>
            <w:noWrap/>
            <w:vAlign w:val="center"/>
          </w:tcPr>
          <w:p>
            <w:pPr>
              <w:widowControl/>
              <w:spacing w:line="360" w:lineRule="auto"/>
              <w:jc w:val="center"/>
              <w:rPr>
                <w:rFonts w:ascii="宋体" w:cs="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567" w:type="dxa"/>
            <w:vAlign w:val="center"/>
          </w:tcPr>
          <w:p>
            <w:pPr>
              <w:widowControl/>
              <w:jc w:val="center"/>
              <w:rPr>
                <w:rFonts w:ascii="宋体" w:hAnsi="宋体" w:cs="宋体"/>
                <w:b/>
                <w:color w:val="auto"/>
                <w:kern w:val="0"/>
                <w:sz w:val="24"/>
              </w:rPr>
            </w:pPr>
            <w:r>
              <w:rPr>
                <w:rFonts w:hint="eastAsia" w:ascii="宋体" w:hAnsi="宋体" w:cs="宋体"/>
                <w:b/>
                <w:color w:val="auto"/>
                <w:kern w:val="0"/>
                <w:sz w:val="24"/>
              </w:rPr>
              <w:t>合计</w:t>
            </w:r>
          </w:p>
        </w:tc>
        <w:tc>
          <w:tcPr>
            <w:tcW w:w="8957" w:type="dxa"/>
            <w:gridSpan w:val="9"/>
            <w:vAlign w:val="center"/>
          </w:tcPr>
          <w:p>
            <w:pPr>
              <w:widowControl/>
              <w:spacing w:line="360" w:lineRule="auto"/>
              <w:rPr>
                <w:rFonts w:ascii="宋体" w:cs="宋体"/>
                <w:b/>
                <w:color w:val="auto"/>
                <w:kern w:val="0"/>
                <w:sz w:val="24"/>
              </w:rPr>
            </w:pPr>
            <w:r>
              <w:rPr>
                <w:rFonts w:ascii="宋体" w:cs="宋体"/>
                <w:b/>
                <w:color w:val="auto"/>
                <w:kern w:val="0"/>
                <w:sz w:val="24"/>
              </w:rPr>
              <w:t>人民币</w:t>
            </w:r>
            <w:r>
              <w:rPr>
                <w:rFonts w:hint="eastAsia" w:ascii="宋体" w:cs="宋体"/>
                <w:b/>
                <w:color w:val="auto"/>
                <w:kern w:val="0"/>
                <w:sz w:val="24"/>
              </w:rPr>
              <w:t>（</w:t>
            </w:r>
            <w:r>
              <w:rPr>
                <w:rFonts w:ascii="宋体" w:cs="宋体"/>
                <w:b/>
                <w:color w:val="auto"/>
                <w:kern w:val="0"/>
                <w:sz w:val="24"/>
              </w:rPr>
              <w:t>大写</w:t>
            </w:r>
            <w:r>
              <w:rPr>
                <w:rFonts w:hint="eastAsia" w:ascii="宋体" w:cs="宋体"/>
                <w:b/>
                <w:color w:val="auto"/>
                <w:kern w:val="0"/>
                <w:sz w:val="24"/>
              </w:rPr>
              <w:t>）：</w:t>
            </w:r>
          </w:p>
        </w:tc>
      </w:tr>
    </w:tbl>
    <w:p>
      <w:pPr>
        <w:spacing w:line="360" w:lineRule="auto"/>
        <w:jc w:val="left"/>
        <w:rPr>
          <w:rFonts w:ascii="宋体" w:hAnsi="宋体"/>
          <w:color w:val="auto"/>
          <w:sz w:val="24"/>
        </w:rPr>
      </w:pPr>
      <w:r>
        <w:rPr>
          <w:rFonts w:hint="eastAsia" w:ascii="宋体" w:hAnsi="宋体"/>
          <w:color w:val="auto"/>
          <w:sz w:val="24"/>
        </w:rPr>
        <w:t>附：1. 技术规格书(技术参数及要求)</w:t>
      </w:r>
    </w:p>
    <w:p>
      <w:pPr>
        <w:spacing w:line="360" w:lineRule="auto"/>
        <w:ind w:firstLine="480" w:firstLineChars="200"/>
        <w:jc w:val="left"/>
        <w:rPr>
          <w:rFonts w:ascii="宋体" w:hAnsi="宋体"/>
          <w:color w:val="auto"/>
          <w:sz w:val="24"/>
        </w:rPr>
      </w:pPr>
      <w:r>
        <w:rPr>
          <w:rFonts w:hint="eastAsia" w:ascii="宋体" w:hAnsi="宋体"/>
          <w:color w:val="auto"/>
          <w:sz w:val="24"/>
        </w:rPr>
        <w:t>2. 售后服务承诺</w:t>
      </w:r>
    </w:p>
    <w:p>
      <w:pPr>
        <w:spacing w:line="360" w:lineRule="auto"/>
        <w:jc w:val="left"/>
        <w:rPr>
          <w:rFonts w:ascii="宋体" w:hAnsi="宋体"/>
          <w:b/>
          <w:color w:val="auto"/>
          <w:sz w:val="24"/>
        </w:rPr>
      </w:pPr>
      <w:r>
        <w:rPr>
          <w:rFonts w:hint="eastAsia" w:ascii="宋体" w:hAnsi="宋体"/>
          <w:color w:val="auto"/>
          <w:sz w:val="24"/>
        </w:rPr>
        <w:t xml:space="preserve">    </w:t>
      </w:r>
      <w:r>
        <w:rPr>
          <w:rFonts w:hint="eastAsia" w:ascii="宋体" w:hAnsi="宋体"/>
          <w:b/>
          <w:color w:val="auto"/>
          <w:sz w:val="24"/>
        </w:rPr>
        <w:t>二、合同金额</w:t>
      </w:r>
    </w:p>
    <w:p>
      <w:pPr>
        <w:spacing w:line="360" w:lineRule="auto"/>
        <w:jc w:val="left"/>
        <w:rPr>
          <w:rFonts w:ascii="宋体" w:hAnsi="宋体"/>
          <w:color w:val="auto"/>
          <w:sz w:val="24"/>
        </w:rPr>
      </w:pPr>
      <w:r>
        <w:rPr>
          <w:rFonts w:hint="eastAsia" w:ascii="宋体" w:hAnsi="宋体"/>
          <w:b/>
          <w:color w:val="auto"/>
          <w:sz w:val="24"/>
        </w:rPr>
        <w:t xml:space="preserve">    </w:t>
      </w:r>
      <w:r>
        <w:rPr>
          <w:rFonts w:hint="eastAsia" w:ascii="宋体" w:hAnsi="宋体"/>
          <w:color w:val="auto"/>
          <w:sz w:val="24"/>
        </w:rPr>
        <w:t>人民币（大写）：</w:t>
      </w:r>
      <w:r>
        <w:rPr>
          <w:rFonts w:hint="eastAsia" w:ascii="宋体" w:hAnsi="宋体"/>
          <w:color w:val="auto"/>
          <w:sz w:val="24"/>
          <w:u w:val="single"/>
        </w:rPr>
        <w:t xml:space="preserve">                            </w:t>
      </w:r>
      <w:r>
        <w:rPr>
          <w:rFonts w:hint="eastAsia" w:ascii="宋体" w:hAnsi="宋体"/>
          <w:color w:val="auto"/>
          <w:sz w:val="24"/>
        </w:rPr>
        <w:t>（¥</w:t>
      </w:r>
      <w:r>
        <w:rPr>
          <w:rFonts w:hint="eastAsia" w:ascii="宋体" w:hAnsi="宋体"/>
          <w:color w:val="auto"/>
          <w:sz w:val="24"/>
          <w:u w:val="single"/>
        </w:rPr>
        <w:t xml:space="preserve">               </w:t>
      </w:r>
      <w:r>
        <w:rPr>
          <w:rFonts w:hint="eastAsia" w:ascii="宋体" w:hAnsi="宋体"/>
          <w:color w:val="auto"/>
          <w:sz w:val="24"/>
        </w:rPr>
        <w:t>元）。</w:t>
      </w:r>
    </w:p>
    <w:p>
      <w:pPr>
        <w:spacing w:line="360" w:lineRule="auto"/>
        <w:ind w:firstLine="480"/>
        <w:jc w:val="left"/>
        <w:rPr>
          <w:rFonts w:ascii="宋体" w:hAnsi="宋体"/>
          <w:color w:val="auto"/>
          <w:sz w:val="24"/>
        </w:rPr>
      </w:pPr>
      <w:r>
        <w:rPr>
          <w:rFonts w:hint="eastAsia" w:ascii="宋体" w:hAnsi="宋体"/>
          <w:color w:val="auto"/>
          <w:sz w:val="24"/>
        </w:rPr>
        <w:t>合同价款的组成：货物（设备）价款及运输、装卸、安装及相关材料费、调试费、软件费、保修、人员培训、税金等全部费用。</w:t>
      </w:r>
    </w:p>
    <w:p>
      <w:pPr>
        <w:spacing w:line="360" w:lineRule="auto"/>
        <w:ind w:firstLine="480"/>
        <w:jc w:val="left"/>
        <w:rPr>
          <w:rFonts w:ascii="宋体" w:hAnsi="宋体"/>
          <w:b/>
          <w:color w:val="auto"/>
          <w:sz w:val="24"/>
        </w:rPr>
      </w:pPr>
      <w:r>
        <w:rPr>
          <w:rFonts w:hint="eastAsia" w:ascii="宋体" w:hAnsi="宋体"/>
          <w:b/>
          <w:color w:val="auto"/>
          <w:sz w:val="24"/>
        </w:rPr>
        <w:t>三、质量及技术规格要求</w:t>
      </w:r>
    </w:p>
    <w:p>
      <w:pPr>
        <w:spacing w:line="360" w:lineRule="auto"/>
        <w:ind w:firstLine="480"/>
        <w:rPr>
          <w:rFonts w:ascii="宋体" w:hAnsi="宋体"/>
          <w:color w:val="auto"/>
          <w:sz w:val="24"/>
        </w:rPr>
      </w:pPr>
      <w:r>
        <w:rPr>
          <w:rFonts w:hint="eastAsia" w:ascii="宋体" w:hAnsi="宋体"/>
          <w:color w:val="auto"/>
          <w:sz w:val="24"/>
        </w:rPr>
        <w:t>1. 乙方须按合同要求提供全新货物（设备）（包括零件、附件、备品备件等），货物（设备）的质量标准、规格型号、具体配置、数量等符合招标文件要求，其产品为原厂生产，且应达到乙方投标文件及澄清文件中明确的技术标准。</w:t>
      </w:r>
    </w:p>
    <w:p>
      <w:pPr>
        <w:spacing w:line="360" w:lineRule="auto"/>
        <w:ind w:firstLine="480"/>
        <w:rPr>
          <w:rFonts w:ascii="宋体" w:hAnsi="宋体"/>
          <w:color w:val="auto"/>
          <w:sz w:val="24"/>
        </w:rPr>
      </w:pPr>
      <w:r>
        <w:rPr>
          <w:rFonts w:hint="eastAsia" w:ascii="宋体" w:hAnsi="宋体"/>
          <w:color w:val="auto"/>
          <w:sz w:val="24"/>
        </w:rPr>
        <w:t>2. 乙方应在本合同生效后</w:t>
      </w:r>
      <w:r>
        <w:rPr>
          <w:rFonts w:hint="eastAsia" w:ascii="宋体" w:hAnsi="宋体"/>
          <w:color w:val="auto"/>
          <w:sz w:val="24"/>
          <w:u w:val="single"/>
        </w:rPr>
        <w:t xml:space="preserve">        </w:t>
      </w:r>
      <w:r>
        <w:rPr>
          <w:rFonts w:hint="eastAsia" w:ascii="宋体" w:hAnsi="宋体"/>
          <w:color w:val="auto"/>
          <w:sz w:val="24"/>
        </w:rPr>
        <w:t>日历天内(依据响应文件中承诺的供货期填写天数)完成所有货物（设备）安装调试，试运行正常后由甲方组织验收。如甲方无正当</w:t>
      </w:r>
      <w:r>
        <w:rPr>
          <w:rFonts w:hint="eastAsia" w:ascii="宋体" w:hAnsi="宋体"/>
          <w:color w:val="auto"/>
          <w:sz w:val="24"/>
          <w:lang w:val="en-US" w:eastAsia="zh-CN"/>
        </w:rPr>
        <w:t>理</w:t>
      </w:r>
      <w:r>
        <w:rPr>
          <w:rFonts w:hint="eastAsia" w:ascii="宋体" w:hAnsi="宋体"/>
          <w:color w:val="auto"/>
          <w:sz w:val="24"/>
        </w:rPr>
        <w:t>由，不得拒绝接收；在安装调试过程中，甲方有权采取适当的方式对乙方产品质量标准、规格型号、具体配置、数量以及安装质量和进度等进行检查。</w:t>
      </w:r>
    </w:p>
    <w:p>
      <w:pPr>
        <w:spacing w:line="360" w:lineRule="auto"/>
        <w:jc w:val="left"/>
        <w:rPr>
          <w:b/>
          <w:color w:val="auto"/>
          <w:sz w:val="24"/>
        </w:rPr>
      </w:pPr>
      <w:r>
        <w:rPr>
          <w:rFonts w:hint="eastAsia" w:ascii="宋体" w:hAnsi="宋体"/>
          <w:b/>
          <w:color w:val="auto"/>
          <w:sz w:val="24"/>
        </w:rPr>
        <w:t xml:space="preserve">    四、交货时间、地点与方式</w:t>
      </w:r>
    </w:p>
    <w:p>
      <w:pPr>
        <w:spacing w:line="360" w:lineRule="auto"/>
        <w:ind w:firstLine="568" w:firstLineChars="237"/>
        <w:rPr>
          <w:rFonts w:ascii="宋体" w:hAnsi="宋体"/>
          <w:color w:val="auto"/>
          <w:sz w:val="24"/>
        </w:rPr>
      </w:pPr>
      <w:r>
        <w:rPr>
          <w:rFonts w:hint="eastAsia" w:ascii="宋体" w:hAnsi="宋体"/>
          <w:color w:val="auto"/>
          <w:sz w:val="24"/>
        </w:rPr>
        <w:t>1. 乙方应于合同生效后</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日内将货物（设备）运到甲方指定地点</w:t>
      </w:r>
      <w:r>
        <w:rPr>
          <w:rFonts w:hint="eastAsia" w:ascii="宋体" w:hAnsi="宋体"/>
          <w:color w:val="auto"/>
          <w:sz w:val="24"/>
          <w:u w:val="single"/>
        </w:rPr>
        <w:t xml:space="preserve">                                  </w:t>
      </w:r>
      <w:r>
        <w:rPr>
          <w:rFonts w:hint="eastAsia" w:ascii="宋体" w:hAnsi="宋体"/>
          <w:color w:val="auto"/>
          <w:sz w:val="24"/>
        </w:rPr>
        <w:t>，并按合同要求安装、调试完毕，具备使用条件。</w:t>
      </w:r>
    </w:p>
    <w:p>
      <w:pPr>
        <w:spacing w:line="360" w:lineRule="auto"/>
        <w:ind w:firstLine="568" w:firstLineChars="237"/>
        <w:rPr>
          <w:rFonts w:ascii="宋体" w:hAnsi="宋体"/>
          <w:color w:val="auto"/>
          <w:sz w:val="24"/>
        </w:rPr>
      </w:pPr>
      <w:r>
        <w:rPr>
          <w:rFonts w:hint="eastAsia" w:ascii="宋体" w:hAnsi="宋体"/>
          <w:color w:val="auto"/>
          <w:sz w:val="24"/>
        </w:rPr>
        <w:t>2. 乙方负责所供货物（设备）包装、运输、安装和调试，并承担所发生的费用；甲方为乙方现场安装提供水、电等便利条件。</w:t>
      </w:r>
    </w:p>
    <w:p>
      <w:pPr>
        <w:spacing w:line="360" w:lineRule="auto"/>
        <w:ind w:firstLine="568" w:firstLineChars="237"/>
        <w:rPr>
          <w:rFonts w:ascii="宋体" w:hAnsi="宋体"/>
          <w:color w:val="auto"/>
          <w:sz w:val="24"/>
        </w:rPr>
      </w:pPr>
      <w:r>
        <w:rPr>
          <w:rFonts w:hint="eastAsia" w:ascii="宋体" w:hAnsi="宋体"/>
          <w:color w:val="auto"/>
          <w:sz w:val="24"/>
        </w:rPr>
        <w:t>3. 安装过程中若发生安全事故由乙方承担法律责任。</w:t>
      </w:r>
    </w:p>
    <w:p>
      <w:pPr>
        <w:spacing w:line="360" w:lineRule="auto"/>
        <w:ind w:firstLine="568" w:firstLineChars="237"/>
        <w:rPr>
          <w:rFonts w:ascii="宋体" w:hAnsi="宋体"/>
          <w:color w:val="auto"/>
          <w:sz w:val="24"/>
        </w:rPr>
      </w:pPr>
      <w:r>
        <w:rPr>
          <w:rFonts w:hint="eastAsia" w:ascii="宋体" w:hAnsi="宋体"/>
          <w:color w:val="auto"/>
          <w:sz w:val="24"/>
        </w:rPr>
        <w:t>4．乙方安装人员应服从甲方的管理，遵守国家法律法规和学校相关制度，否则一切后果均由乙方承担。</w:t>
      </w:r>
    </w:p>
    <w:p>
      <w:pPr>
        <w:spacing w:line="360" w:lineRule="auto"/>
        <w:ind w:firstLine="568" w:firstLineChars="237"/>
        <w:rPr>
          <w:rFonts w:ascii="宋体" w:hAnsi="宋体"/>
          <w:color w:val="auto"/>
          <w:sz w:val="24"/>
        </w:rPr>
      </w:pPr>
      <w:r>
        <w:rPr>
          <w:rFonts w:hint="eastAsia" w:ascii="宋体" w:hAnsi="宋体"/>
          <w:color w:val="auto"/>
          <w:sz w:val="24"/>
        </w:rPr>
        <w:t>5. 货物（设备）交付使用前，乙方负责对提供货物（设备）进行看管，并承担货物（设备）的丢失、损毁等风险。</w:t>
      </w:r>
    </w:p>
    <w:p>
      <w:pPr>
        <w:spacing w:line="360" w:lineRule="auto"/>
        <w:ind w:firstLine="568" w:firstLineChars="237"/>
        <w:rPr>
          <w:rFonts w:ascii="宋体" w:hAnsi="宋体"/>
          <w:color w:val="auto"/>
          <w:sz w:val="24"/>
        </w:rPr>
      </w:pPr>
      <w:r>
        <w:rPr>
          <w:rFonts w:ascii="宋体" w:hAnsi="宋体"/>
          <w:color w:val="auto"/>
          <w:sz w:val="24"/>
        </w:rPr>
        <w:t xml:space="preserve">6. </w:t>
      </w:r>
      <w:r>
        <w:rPr>
          <w:rFonts w:hint="eastAsia" w:ascii="宋体" w:hAnsi="宋体"/>
          <w:color w:val="auto"/>
          <w:sz w:val="24"/>
        </w:rPr>
        <w:t>乙方交由承运人运输的在途货物（设备），由乙方承担毁损、灭失的风险。</w:t>
      </w:r>
    </w:p>
    <w:p>
      <w:pPr>
        <w:spacing w:line="360" w:lineRule="auto"/>
        <w:rPr>
          <w:rFonts w:ascii="宋体" w:hAnsi="宋体"/>
          <w:b/>
          <w:color w:val="auto"/>
          <w:sz w:val="24"/>
        </w:rPr>
      </w:pPr>
      <w:r>
        <w:rPr>
          <w:rFonts w:hint="eastAsia" w:ascii="宋体" w:hAnsi="宋体"/>
          <w:b/>
          <w:color w:val="auto"/>
          <w:sz w:val="24"/>
        </w:rPr>
        <w:t xml:space="preserve">     五、交付、安装调试及人员培训</w:t>
      </w:r>
    </w:p>
    <w:p>
      <w:pPr>
        <w:spacing w:line="360" w:lineRule="auto"/>
        <w:ind w:firstLine="495"/>
        <w:rPr>
          <w:rFonts w:ascii="宋体" w:hAnsi="宋体"/>
          <w:color w:val="auto"/>
          <w:sz w:val="24"/>
        </w:rPr>
      </w:pPr>
      <w:r>
        <w:rPr>
          <w:rFonts w:hint="eastAsia" w:ascii="宋体" w:hAnsi="宋体"/>
          <w:color w:val="auto"/>
          <w:sz w:val="24"/>
        </w:rPr>
        <w:t>1、到货检查。到货后，甲乙双方检查仪器设备内外包装是否完好，有无破损、碰伤、浸湿、受潮、变形等情况。如发现上述问题，应做详细记录，并拍照留据。如果乙方提供的货物与合同不符，甲方有权拒绝接收，由此产生的一切费用由乙方承担。</w:t>
      </w:r>
    </w:p>
    <w:p>
      <w:pPr>
        <w:spacing w:line="360" w:lineRule="auto"/>
        <w:ind w:firstLine="495"/>
        <w:rPr>
          <w:rFonts w:ascii="宋体" w:hAnsi="宋体"/>
          <w:color w:val="auto"/>
          <w:sz w:val="24"/>
        </w:rPr>
      </w:pPr>
      <w:r>
        <w:rPr>
          <w:rFonts w:hint="eastAsia" w:ascii="宋体" w:hAnsi="宋体"/>
          <w:color w:val="auto"/>
          <w:sz w:val="24"/>
        </w:rPr>
        <w:t>2、开箱（实物及数量参数）清点。到货后开箱检查仪器设备及附件外表有无残损、锈蚀、碰伤等，检查随机资料是否齐全，如仪器说明书、操作规程、检修手册、产品检验合格证书等。以装箱单为依据，逐件核对检查主机、附件的规格、型号、配置及数量。以供货合同为依据与装箱单进行核对，做好货物（设备）验收清单记录。</w:t>
      </w:r>
    </w:p>
    <w:p>
      <w:pPr>
        <w:spacing w:line="360" w:lineRule="auto"/>
        <w:ind w:firstLine="480" w:firstLineChars="200"/>
        <w:rPr>
          <w:color w:val="auto"/>
          <w:sz w:val="24"/>
        </w:rPr>
      </w:pPr>
      <w:r>
        <w:rPr>
          <w:rFonts w:ascii="宋体" w:hAnsi="宋体"/>
          <w:color w:val="auto"/>
          <w:sz w:val="24"/>
        </w:rPr>
        <w:t>3</w:t>
      </w:r>
      <w:r>
        <w:rPr>
          <w:rFonts w:hint="eastAsia" w:ascii="宋体" w:hAnsi="宋体"/>
          <w:color w:val="auto"/>
          <w:sz w:val="24"/>
        </w:rPr>
        <w:t>、安装调试：</w:t>
      </w:r>
      <w:r>
        <w:rPr>
          <w:rFonts w:hint="eastAsia"/>
          <w:color w:val="auto"/>
          <w:sz w:val="24"/>
        </w:rPr>
        <w:t>乙方负责对</w:t>
      </w:r>
      <w:r>
        <w:rPr>
          <w:rFonts w:hint="eastAsia" w:ascii="宋体" w:hAnsi="宋体"/>
          <w:color w:val="auto"/>
          <w:sz w:val="24"/>
        </w:rPr>
        <w:t>货物（设备）</w:t>
      </w:r>
      <w:r>
        <w:rPr>
          <w:rFonts w:hint="eastAsia"/>
          <w:color w:val="auto"/>
          <w:sz w:val="24"/>
        </w:rPr>
        <w:t>免费进行安装调试，并使其</w:t>
      </w:r>
      <w:r>
        <w:rPr>
          <w:rStyle w:val="11"/>
          <w:rFonts w:hint="eastAsia"/>
          <w:color w:val="auto"/>
          <w:sz w:val="24"/>
          <w:szCs w:val="24"/>
        </w:rPr>
        <w:t>投</w:t>
      </w:r>
      <w:r>
        <w:rPr>
          <w:rFonts w:hint="eastAsia"/>
          <w:color w:val="auto"/>
          <w:sz w:val="24"/>
        </w:rPr>
        <w:t>入正常运行。</w:t>
      </w:r>
    </w:p>
    <w:p>
      <w:pPr>
        <w:spacing w:line="360" w:lineRule="auto"/>
        <w:ind w:firstLine="495"/>
        <w:rPr>
          <w:rFonts w:hint="eastAsia" w:ascii="宋体" w:hAnsi="宋体"/>
          <w:color w:val="auto"/>
          <w:sz w:val="24"/>
        </w:rPr>
      </w:pPr>
      <w:r>
        <w:rPr>
          <w:rFonts w:ascii="宋体" w:hAnsi="宋体"/>
          <w:color w:val="auto"/>
          <w:sz w:val="24"/>
        </w:rPr>
        <w:t>4</w:t>
      </w:r>
      <w:r>
        <w:rPr>
          <w:rFonts w:hint="eastAsia" w:ascii="宋体" w:hAnsi="宋体"/>
          <w:color w:val="auto"/>
          <w:sz w:val="24"/>
        </w:rPr>
        <w:t>、质量核验。按照合同条款、货物（设备）使用说明书及操作手册的规定和程序进行安装、调试后进行质量核验，乙方技术人员参加，必要时可委托有资质的第三方(或政府主管部门)进行核验，所需费用由乙方承担。核验时对照货物（设备）使用说明书，进行各种技术参数测试，检查货物（设备）的技术指标和性能是否达到要求，做好质量核验记录。核验合格后，乙方应向甲方移交所供货物（设备）完整的使用说明书、合格证及相关资料。若货物（设备）出现质量问题，应将详细情况书面通知供应商。</w:t>
      </w:r>
    </w:p>
    <w:p>
      <w:pPr>
        <w:adjustRightInd w:val="0"/>
        <w:snapToGrid w:val="0"/>
        <w:spacing w:line="360" w:lineRule="auto"/>
        <w:ind w:firstLine="480"/>
        <w:rPr>
          <w:rFonts w:ascii="宋体" w:hAnsi="宋体"/>
          <w:color w:val="auto"/>
          <w:sz w:val="24"/>
        </w:rPr>
      </w:pPr>
      <w:r>
        <w:rPr>
          <w:rFonts w:ascii="宋体" w:hAnsi="宋体"/>
          <w:color w:val="auto"/>
          <w:sz w:val="24"/>
        </w:rPr>
        <w:t>5</w:t>
      </w:r>
      <w:r>
        <w:rPr>
          <w:rFonts w:hint="eastAsia" w:ascii="宋体" w:hAnsi="宋体"/>
          <w:color w:val="auto"/>
          <w:sz w:val="24"/>
        </w:rPr>
        <w:t xml:space="preserve">、人员培训：乙方免费对甲方人员进行完整的业务及服务培训，使其达到正确掌握货物（设备）使用要求。 </w:t>
      </w:r>
    </w:p>
    <w:p>
      <w:pPr>
        <w:spacing w:line="360" w:lineRule="auto"/>
        <w:ind w:firstLine="482" w:firstLineChars="200"/>
        <w:rPr>
          <w:rFonts w:hint="eastAsia" w:ascii="宋体" w:hAnsi="宋体"/>
          <w:b/>
          <w:color w:val="auto"/>
          <w:sz w:val="24"/>
        </w:rPr>
      </w:pPr>
      <w:r>
        <w:rPr>
          <w:rFonts w:hint="eastAsia" w:ascii="宋体" w:hAnsi="宋体"/>
          <w:b/>
          <w:color w:val="auto"/>
          <w:sz w:val="24"/>
        </w:rPr>
        <w:t>六、验收</w:t>
      </w:r>
    </w:p>
    <w:p>
      <w:pPr>
        <w:adjustRightInd w:val="0"/>
        <w:snapToGrid w:val="0"/>
        <w:spacing w:line="360" w:lineRule="auto"/>
        <w:ind w:firstLine="480"/>
        <w:rPr>
          <w:rFonts w:ascii="宋体" w:hAnsi="宋体"/>
          <w:color w:val="auto"/>
          <w:sz w:val="24"/>
        </w:rPr>
      </w:pPr>
      <w:r>
        <w:rPr>
          <w:rFonts w:hint="eastAsia" w:ascii="宋体" w:hAnsi="宋体"/>
          <w:color w:val="auto"/>
          <w:sz w:val="24"/>
        </w:rPr>
        <w:t>货物（设备）在完成安装调试、人员培训，正常使用一段时间后，由乙方向甲方提出书面验收申请，甲方可以根据实际需要增加出厂检验、安装调试检验等多种验收环节，特殊情况下可以组织第三方共同验收，验收结束出具验收报告，自货物（设备）验收合格并交付给甲方之日起计算质保期。</w:t>
      </w:r>
    </w:p>
    <w:p>
      <w:pPr>
        <w:adjustRightInd w:val="0"/>
        <w:snapToGrid w:val="0"/>
        <w:spacing w:line="360" w:lineRule="auto"/>
        <w:ind w:firstLine="480"/>
        <w:rPr>
          <w:rFonts w:ascii="宋体" w:hAnsi="宋体"/>
          <w:b/>
          <w:color w:val="auto"/>
          <w:sz w:val="24"/>
        </w:rPr>
      </w:pPr>
      <w:r>
        <w:rPr>
          <w:rFonts w:hint="eastAsia" w:ascii="宋体" w:hAnsi="宋体"/>
          <w:color w:val="auto"/>
          <w:sz w:val="24"/>
        </w:rPr>
        <w:t xml:space="preserve"> 七</w:t>
      </w:r>
      <w:r>
        <w:rPr>
          <w:rFonts w:hint="eastAsia" w:ascii="宋体" w:hAnsi="宋体"/>
          <w:b/>
          <w:color w:val="auto"/>
          <w:sz w:val="24"/>
        </w:rPr>
        <w:t>、履约保证金及付款方式</w:t>
      </w:r>
    </w:p>
    <w:p>
      <w:pPr>
        <w:spacing w:line="360" w:lineRule="auto"/>
        <w:ind w:firstLine="465"/>
        <w:rPr>
          <w:rFonts w:ascii="宋体" w:hAnsi="宋体"/>
          <w:color w:val="auto"/>
          <w:sz w:val="24"/>
          <w:u w:val="single"/>
        </w:rPr>
      </w:pPr>
      <w:r>
        <w:rPr>
          <w:rFonts w:hint="eastAsia" w:ascii="宋体" w:hAnsi="宋体"/>
          <w:color w:val="auto"/>
          <w:sz w:val="24"/>
        </w:rPr>
        <w:t>1. 乙方向甲方交纳合同总金额的5%作为履约保证金，人民币（大写）：</w:t>
      </w:r>
      <w:r>
        <w:rPr>
          <w:rFonts w:hint="eastAsia" w:ascii="宋体" w:hAnsi="宋体"/>
          <w:color w:val="auto"/>
          <w:sz w:val="24"/>
          <w:u w:val="single"/>
        </w:rPr>
        <w:t xml:space="preserve">                               </w:t>
      </w:r>
    </w:p>
    <w:p>
      <w:pPr>
        <w:spacing w:line="360" w:lineRule="auto"/>
        <w:rPr>
          <w:rFonts w:ascii="宋体" w:hAnsi="宋体"/>
          <w:color w:val="auto"/>
          <w:sz w:val="24"/>
        </w:rPr>
      </w:pPr>
      <w:r>
        <w:rPr>
          <w:rFonts w:hint="eastAsia" w:ascii="宋体" w:hAnsi="宋体"/>
          <w:color w:val="auto"/>
          <w:sz w:val="24"/>
        </w:rPr>
        <w:t>（¥</w:t>
      </w:r>
      <w:r>
        <w:rPr>
          <w:rFonts w:hint="eastAsia" w:ascii="宋体" w:hAnsi="宋体"/>
          <w:color w:val="auto"/>
          <w:sz w:val="24"/>
          <w:u w:val="single"/>
        </w:rPr>
        <w:t xml:space="preserve">         </w:t>
      </w:r>
      <w:r>
        <w:rPr>
          <w:rFonts w:hint="eastAsia" w:ascii="宋体" w:hAnsi="宋体"/>
          <w:color w:val="auto"/>
          <w:sz w:val="24"/>
        </w:rPr>
        <w:t>元）；如无违约行为，履约保证金自</w:t>
      </w:r>
      <w:r>
        <w:rPr>
          <w:rFonts w:ascii="宋体" w:hAnsi="宋体"/>
          <w:color w:val="auto"/>
          <w:sz w:val="24"/>
        </w:rPr>
        <w:t>验收合格之日起</w:t>
      </w:r>
      <w:r>
        <w:rPr>
          <w:rFonts w:hint="eastAsia" w:ascii="宋体" w:hAnsi="宋体"/>
          <w:color w:val="auto"/>
          <w:sz w:val="24"/>
        </w:rPr>
        <w:t>一年后无息退还。</w:t>
      </w:r>
    </w:p>
    <w:p>
      <w:pPr>
        <w:spacing w:line="360" w:lineRule="auto"/>
        <w:ind w:firstLine="480" w:firstLineChars="200"/>
        <w:rPr>
          <w:rFonts w:ascii="宋体" w:hAnsi="宋体"/>
          <w:color w:val="auto"/>
          <w:sz w:val="24"/>
        </w:rPr>
      </w:pPr>
      <w:r>
        <w:rPr>
          <w:rFonts w:hint="eastAsia" w:ascii="宋体" w:hAnsi="宋体"/>
          <w:color w:val="auto"/>
          <w:sz w:val="24"/>
        </w:rPr>
        <w:t>2. 货物（设备）验收合格后，乙方提供付款的相关手续并开具增值税专用发票后30日内，甲方</w:t>
      </w:r>
      <w:r>
        <w:rPr>
          <w:rFonts w:ascii="宋体" w:hAnsi="宋体"/>
          <w:color w:val="auto"/>
          <w:sz w:val="24"/>
        </w:rPr>
        <w:t>支付</w:t>
      </w:r>
      <w:r>
        <w:rPr>
          <w:rFonts w:hint="eastAsia" w:ascii="宋体" w:hAnsi="宋体"/>
          <w:color w:val="auto"/>
          <w:sz w:val="24"/>
        </w:rPr>
        <w:t>审计金额</w:t>
      </w:r>
      <w:r>
        <w:rPr>
          <w:rFonts w:ascii="宋体" w:hAnsi="宋体"/>
          <w:color w:val="auto"/>
          <w:sz w:val="24"/>
        </w:rPr>
        <w:t>的</w:t>
      </w:r>
      <w:r>
        <w:rPr>
          <w:rFonts w:hint="eastAsia" w:ascii="宋体" w:hAnsi="宋体"/>
          <w:color w:val="auto"/>
          <w:sz w:val="24"/>
        </w:rPr>
        <w:t>100</w:t>
      </w:r>
      <w:r>
        <w:rPr>
          <w:rFonts w:ascii="宋体" w:hAnsi="宋体"/>
          <w:color w:val="auto"/>
          <w:sz w:val="24"/>
        </w:rPr>
        <w:t>%</w:t>
      </w:r>
      <w:r>
        <w:rPr>
          <w:rFonts w:hint="eastAsia" w:ascii="宋体" w:hAnsi="宋体"/>
          <w:color w:val="auto"/>
          <w:sz w:val="24"/>
        </w:rPr>
        <w:t>。</w:t>
      </w:r>
      <w:r>
        <w:rPr>
          <w:rFonts w:ascii="宋体" w:hAnsi="宋体"/>
          <w:color w:val="auto"/>
          <w:sz w:val="24"/>
        </w:rPr>
        <w:t xml:space="preserve"> </w:t>
      </w:r>
    </w:p>
    <w:p>
      <w:pPr>
        <w:spacing w:line="360" w:lineRule="auto"/>
        <w:rPr>
          <w:rFonts w:asciiTheme="majorEastAsia" w:hAnsiTheme="majorEastAsia" w:eastAsiaTheme="majorEastAsia"/>
          <w:b/>
          <w:color w:val="auto"/>
          <w:sz w:val="24"/>
        </w:rPr>
      </w:pPr>
      <w:r>
        <w:rPr>
          <w:rFonts w:hint="eastAsia" w:ascii="宋体" w:hAnsi="宋体"/>
          <w:color w:val="auto"/>
          <w:sz w:val="24"/>
        </w:rPr>
        <w:t xml:space="preserve">   八</w:t>
      </w:r>
      <w:r>
        <w:rPr>
          <w:rFonts w:hint="eastAsia" w:asciiTheme="majorEastAsia" w:hAnsiTheme="majorEastAsia" w:eastAsiaTheme="majorEastAsia"/>
          <w:b/>
          <w:color w:val="auto"/>
          <w:sz w:val="24"/>
        </w:rPr>
        <w:t>、合同的履行、变更和解除</w:t>
      </w:r>
    </w:p>
    <w:p>
      <w:pPr>
        <w:spacing w:line="360" w:lineRule="auto"/>
        <w:ind w:firstLine="480" w:firstLineChars="200"/>
        <w:rPr>
          <w:rFonts w:asciiTheme="majorEastAsia" w:hAnsiTheme="majorEastAsia" w:eastAsiaTheme="majorEastAsia"/>
          <w:color w:val="auto"/>
          <w:sz w:val="24"/>
        </w:rPr>
      </w:pPr>
      <w:r>
        <w:rPr>
          <w:rFonts w:hint="eastAsia" w:asciiTheme="majorEastAsia" w:hAnsiTheme="majorEastAsia" w:eastAsiaTheme="majorEastAsia"/>
          <w:color w:val="auto"/>
          <w:sz w:val="24"/>
        </w:rPr>
        <w:t>1. 合同签订后即具法律效力，甲乙双方均须认真履行，不得随意解除合同。</w:t>
      </w:r>
    </w:p>
    <w:p>
      <w:pPr>
        <w:spacing w:line="360" w:lineRule="auto"/>
        <w:ind w:firstLine="480" w:firstLineChars="200"/>
        <w:rPr>
          <w:rFonts w:asciiTheme="majorEastAsia" w:hAnsiTheme="majorEastAsia" w:eastAsiaTheme="majorEastAsia"/>
          <w:color w:val="auto"/>
          <w:sz w:val="24"/>
        </w:rPr>
      </w:pPr>
      <w:r>
        <w:rPr>
          <w:rFonts w:hint="eastAsia" w:asciiTheme="majorEastAsia" w:hAnsiTheme="majorEastAsia" w:eastAsiaTheme="majorEastAsia"/>
          <w:color w:val="auto"/>
          <w:sz w:val="24"/>
        </w:rPr>
        <w:t>2. 甲乙双方不得擅自变更合同。如因项目需要变更，须经双方书面认可后方可变更。</w:t>
      </w:r>
    </w:p>
    <w:p>
      <w:pPr>
        <w:spacing w:line="360" w:lineRule="auto"/>
        <w:ind w:firstLine="480" w:firstLineChars="200"/>
        <w:rPr>
          <w:rFonts w:asciiTheme="majorEastAsia" w:hAnsiTheme="majorEastAsia" w:eastAsiaTheme="majorEastAsia"/>
          <w:color w:val="auto"/>
          <w:sz w:val="24"/>
        </w:rPr>
      </w:pPr>
      <w:r>
        <w:rPr>
          <w:rFonts w:hint="eastAsia" w:asciiTheme="majorEastAsia" w:hAnsiTheme="majorEastAsia" w:eastAsiaTheme="majorEastAsia"/>
          <w:color w:val="auto"/>
          <w:sz w:val="24"/>
        </w:rPr>
        <w:t>3. 发生以下情况，经甲方通知乙方未及时整改的，甲方有权解除合同：</w:t>
      </w:r>
    </w:p>
    <w:p>
      <w:pPr>
        <w:spacing w:line="360" w:lineRule="auto"/>
        <w:ind w:firstLine="480" w:firstLineChars="200"/>
        <w:rPr>
          <w:rFonts w:asciiTheme="majorEastAsia" w:hAnsiTheme="majorEastAsia" w:eastAsiaTheme="majorEastAsia"/>
          <w:color w:val="auto"/>
          <w:sz w:val="24"/>
        </w:rPr>
      </w:pPr>
      <w:r>
        <w:rPr>
          <w:rFonts w:hint="eastAsia" w:asciiTheme="majorEastAsia" w:hAnsiTheme="majorEastAsia" w:eastAsiaTheme="majorEastAsia"/>
          <w:color w:val="auto"/>
          <w:sz w:val="24"/>
        </w:rPr>
        <w:t>（1）乙方拒绝接受甲方的管理；</w:t>
      </w:r>
    </w:p>
    <w:p>
      <w:pPr>
        <w:spacing w:line="360" w:lineRule="auto"/>
        <w:rPr>
          <w:rFonts w:asciiTheme="majorEastAsia" w:hAnsiTheme="majorEastAsia" w:eastAsiaTheme="majorEastAsia"/>
          <w:color w:val="auto"/>
          <w:sz w:val="24"/>
        </w:rPr>
      </w:pPr>
      <w:r>
        <w:rPr>
          <w:rFonts w:hint="eastAsia" w:asciiTheme="majorEastAsia" w:hAnsiTheme="majorEastAsia" w:eastAsiaTheme="majorEastAsia"/>
          <w:color w:val="auto"/>
          <w:sz w:val="24"/>
        </w:rPr>
        <w:t xml:space="preserve">    （2）合同执行期间，乙方因自身问题不能正常供货，致使供货期严重延误；</w:t>
      </w:r>
    </w:p>
    <w:p>
      <w:pPr>
        <w:spacing w:line="360" w:lineRule="auto"/>
        <w:ind w:firstLine="480" w:firstLineChars="200"/>
        <w:rPr>
          <w:color w:val="auto"/>
          <w:sz w:val="24"/>
        </w:rPr>
      </w:pPr>
      <w:r>
        <w:rPr>
          <w:rFonts w:hint="eastAsia" w:asciiTheme="majorEastAsia" w:hAnsiTheme="majorEastAsia" w:eastAsiaTheme="majorEastAsia"/>
          <w:color w:val="auto"/>
          <w:sz w:val="24"/>
        </w:rPr>
        <w:t>（3）所供货物（设备）不符合</w:t>
      </w:r>
      <w:r>
        <w:rPr>
          <w:rFonts w:hint="eastAsia"/>
          <w:color w:val="auto"/>
          <w:sz w:val="24"/>
        </w:rPr>
        <w:t>招标（采购）、投标（响应性）文件（或其他采购依据）及本合同约定；</w:t>
      </w:r>
    </w:p>
    <w:p>
      <w:pPr>
        <w:spacing w:line="360" w:lineRule="auto"/>
        <w:ind w:firstLine="480" w:firstLineChars="200"/>
        <w:rPr>
          <w:color w:val="auto"/>
          <w:sz w:val="24"/>
        </w:rPr>
      </w:pPr>
      <w:r>
        <w:rPr>
          <w:rFonts w:hint="eastAsia"/>
          <w:color w:val="auto"/>
          <w:sz w:val="24"/>
        </w:rPr>
        <w:t>（</w:t>
      </w:r>
      <w:r>
        <w:rPr>
          <w:rFonts w:hint="eastAsia" w:asciiTheme="majorEastAsia" w:hAnsiTheme="majorEastAsia" w:eastAsiaTheme="majorEastAsia"/>
          <w:color w:val="auto"/>
          <w:sz w:val="24"/>
        </w:rPr>
        <w:t>4</w:t>
      </w:r>
      <w:r>
        <w:rPr>
          <w:rFonts w:hint="eastAsia"/>
          <w:color w:val="auto"/>
          <w:sz w:val="24"/>
        </w:rPr>
        <w:t>）所供货物（设备）不符合验收标准；</w:t>
      </w:r>
    </w:p>
    <w:p>
      <w:pPr>
        <w:spacing w:line="360" w:lineRule="auto"/>
        <w:ind w:firstLine="480" w:firstLineChars="200"/>
        <w:rPr>
          <w:rFonts w:asciiTheme="majorEastAsia" w:hAnsiTheme="majorEastAsia" w:eastAsiaTheme="majorEastAsia"/>
          <w:color w:val="auto"/>
          <w:sz w:val="24"/>
        </w:rPr>
      </w:pPr>
      <w:r>
        <w:rPr>
          <w:rFonts w:hint="eastAsia" w:asciiTheme="majorEastAsia" w:hAnsiTheme="majorEastAsia" w:eastAsiaTheme="majorEastAsia"/>
          <w:color w:val="auto"/>
          <w:sz w:val="24"/>
        </w:rPr>
        <w:t>（5）法律规定的其他情形。</w:t>
      </w:r>
    </w:p>
    <w:p>
      <w:pPr>
        <w:spacing w:line="360" w:lineRule="auto"/>
        <w:ind w:firstLine="480" w:firstLineChars="200"/>
        <w:rPr>
          <w:rFonts w:hint="eastAsia" w:asciiTheme="majorEastAsia" w:hAnsiTheme="majorEastAsia" w:eastAsiaTheme="majorEastAsia"/>
          <w:color w:val="auto"/>
          <w:sz w:val="24"/>
        </w:rPr>
      </w:pPr>
    </w:p>
    <w:p>
      <w:pPr>
        <w:spacing w:line="360" w:lineRule="auto"/>
        <w:ind w:firstLine="482" w:firstLineChars="200"/>
        <w:rPr>
          <w:rFonts w:asciiTheme="majorEastAsia" w:hAnsiTheme="majorEastAsia" w:eastAsiaTheme="majorEastAsia"/>
          <w:b/>
          <w:color w:val="auto"/>
          <w:sz w:val="24"/>
        </w:rPr>
      </w:pPr>
      <w:r>
        <w:rPr>
          <w:rFonts w:hint="eastAsia" w:asciiTheme="majorEastAsia" w:hAnsiTheme="majorEastAsia" w:eastAsiaTheme="majorEastAsia"/>
          <w:b/>
          <w:color w:val="auto"/>
          <w:sz w:val="24"/>
        </w:rPr>
        <w:t>九、违约责任</w:t>
      </w:r>
    </w:p>
    <w:p>
      <w:pPr>
        <w:spacing w:line="360" w:lineRule="auto"/>
        <w:ind w:firstLine="480" w:firstLineChars="200"/>
        <w:rPr>
          <w:rFonts w:asciiTheme="majorEastAsia" w:hAnsiTheme="majorEastAsia" w:eastAsiaTheme="majorEastAsia"/>
          <w:color w:val="auto"/>
          <w:sz w:val="24"/>
        </w:rPr>
      </w:pPr>
      <w:r>
        <w:rPr>
          <w:rFonts w:hint="eastAsia" w:asciiTheme="majorEastAsia" w:hAnsiTheme="majorEastAsia" w:eastAsiaTheme="majorEastAsia"/>
          <w:color w:val="auto"/>
          <w:sz w:val="24"/>
        </w:rPr>
        <w:t>1.</w:t>
      </w:r>
      <w:r>
        <w:rPr>
          <w:rFonts w:asciiTheme="majorEastAsia" w:hAnsiTheme="majorEastAsia" w:eastAsiaTheme="majorEastAsia"/>
          <w:color w:val="auto"/>
          <w:sz w:val="24"/>
        </w:rPr>
        <w:t xml:space="preserve"> </w:t>
      </w:r>
      <w:r>
        <w:rPr>
          <w:rFonts w:hint="eastAsia" w:asciiTheme="majorEastAsia" w:hAnsiTheme="majorEastAsia" w:eastAsiaTheme="majorEastAsia"/>
          <w:color w:val="auto"/>
          <w:sz w:val="24"/>
        </w:rPr>
        <w:t>除如因战争，严重水灾、台风、地震等自然灾害，政府政策的重大变动等政府行为和其它甲乙双方认可的不可抗力事件外，甲乙双方不得随意解除合同，否则按违约处理。</w:t>
      </w:r>
    </w:p>
    <w:p>
      <w:pPr>
        <w:spacing w:line="360" w:lineRule="auto"/>
        <w:ind w:firstLine="480" w:firstLineChars="200"/>
        <w:rPr>
          <w:rFonts w:ascii="宋体" w:hAnsi="宋体"/>
          <w:color w:val="auto"/>
          <w:sz w:val="24"/>
        </w:rPr>
      </w:pPr>
      <w:r>
        <w:rPr>
          <w:rFonts w:hint="eastAsia" w:asciiTheme="majorEastAsia" w:hAnsiTheme="majorEastAsia" w:eastAsiaTheme="majorEastAsia"/>
          <w:color w:val="auto"/>
          <w:sz w:val="24"/>
        </w:rPr>
        <w:t>2.</w:t>
      </w:r>
      <w:r>
        <w:rPr>
          <w:rFonts w:asciiTheme="majorEastAsia" w:hAnsiTheme="majorEastAsia" w:eastAsiaTheme="majorEastAsia"/>
          <w:color w:val="auto"/>
          <w:sz w:val="24"/>
        </w:rPr>
        <w:t xml:space="preserve"> </w:t>
      </w:r>
      <w:r>
        <w:rPr>
          <w:rFonts w:hint="eastAsia" w:asciiTheme="majorEastAsia" w:hAnsiTheme="majorEastAsia" w:eastAsiaTheme="majorEastAsia"/>
          <w:color w:val="auto"/>
          <w:sz w:val="24"/>
        </w:rPr>
        <w:t>若乙方所供货物（设备）的品牌、型号、规格、技术标准、质量标准和运行等，</w:t>
      </w:r>
      <w:r>
        <w:rPr>
          <w:rFonts w:hint="eastAsia" w:ascii="宋体" w:hAnsi="宋体"/>
          <w:color w:val="auto"/>
          <w:sz w:val="24"/>
        </w:rPr>
        <w:t>不符合招标（采购）、投标（响应性）文件（或采购依据）规定和合同规定的，乙方应负责更换并承担因此而发生的一切费用，如无法更换或更换后仍不符合约定的，甲方有权拒收并有权解除合同，同时乙方应支付合同价款的30%的违约金。因乙方更换而造成逾期交货的，则按逾期交货处理，乙方应负责更换并承担因此而发生的一切费用。</w:t>
      </w:r>
    </w:p>
    <w:p>
      <w:pPr>
        <w:adjustRightInd w:val="0"/>
        <w:snapToGrid w:val="0"/>
        <w:spacing w:line="360" w:lineRule="auto"/>
        <w:ind w:firstLine="480" w:firstLineChars="200"/>
        <w:rPr>
          <w:rFonts w:ascii="宋体" w:hAnsi="宋体"/>
          <w:color w:val="auto"/>
          <w:sz w:val="24"/>
        </w:rPr>
      </w:pPr>
      <w:r>
        <w:rPr>
          <w:rFonts w:hint="eastAsia" w:ascii="宋体" w:hAnsi="宋体"/>
          <w:color w:val="auto"/>
          <w:sz w:val="24"/>
        </w:rPr>
        <w:t>3.</w:t>
      </w:r>
      <w:r>
        <w:rPr>
          <w:rFonts w:ascii="宋体" w:hAnsi="宋体"/>
          <w:color w:val="auto"/>
          <w:sz w:val="24"/>
        </w:rPr>
        <w:t xml:space="preserve"> </w:t>
      </w:r>
      <w:r>
        <w:rPr>
          <w:rFonts w:hint="eastAsia" w:ascii="宋体" w:hAnsi="宋体"/>
          <w:color w:val="auto"/>
          <w:sz w:val="24"/>
        </w:rPr>
        <w:t>乙方不能按时供货，除不可抗力事件外，每拖延一日应按合同总额的千分之五向甲方支付违约金。</w:t>
      </w:r>
    </w:p>
    <w:p>
      <w:pPr>
        <w:adjustRightInd w:val="0"/>
        <w:snapToGrid w:val="0"/>
        <w:spacing w:line="360" w:lineRule="auto"/>
        <w:ind w:firstLine="480" w:firstLineChars="200"/>
        <w:rPr>
          <w:rFonts w:ascii="宋体" w:hAnsi="宋体"/>
          <w:color w:val="auto"/>
          <w:sz w:val="24"/>
        </w:rPr>
      </w:pPr>
      <w:r>
        <w:rPr>
          <w:rFonts w:hint="eastAsia" w:ascii="宋体" w:hAnsi="宋体"/>
          <w:color w:val="auto"/>
          <w:sz w:val="24"/>
        </w:rPr>
        <w:t>4.</w:t>
      </w:r>
      <w:r>
        <w:rPr>
          <w:rFonts w:ascii="宋体" w:hAnsi="宋体"/>
          <w:color w:val="auto"/>
          <w:sz w:val="24"/>
        </w:rPr>
        <w:t xml:space="preserve"> </w:t>
      </w:r>
      <w:r>
        <w:rPr>
          <w:rFonts w:hint="eastAsia" w:ascii="宋体" w:hAnsi="宋体"/>
          <w:color w:val="auto"/>
          <w:sz w:val="24"/>
        </w:rPr>
        <w:t>乙方逾期</w:t>
      </w:r>
      <w:r>
        <w:rPr>
          <w:rFonts w:hint="eastAsia" w:ascii="宋体" w:hAnsi="宋体"/>
          <w:color w:val="auto"/>
          <w:sz w:val="24"/>
          <w:u w:val="single"/>
        </w:rPr>
        <w:t>三周</w:t>
      </w:r>
      <w:r>
        <w:rPr>
          <w:rFonts w:hint="eastAsia" w:ascii="宋体" w:hAnsi="宋体"/>
          <w:color w:val="auto"/>
          <w:sz w:val="24"/>
        </w:rPr>
        <w:t>不能交付货物，甲方有权解除合同，并要求乙方支付合同金额</w:t>
      </w:r>
      <w:r>
        <w:rPr>
          <w:rFonts w:ascii="宋体" w:hAnsi="宋体"/>
          <w:color w:val="auto"/>
          <w:sz w:val="24"/>
        </w:rPr>
        <w:t>3</w:t>
      </w:r>
      <w:r>
        <w:rPr>
          <w:rFonts w:hint="eastAsia" w:ascii="宋体" w:hAnsi="宋体"/>
          <w:color w:val="auto"/>
          <w:sz w:val="24"/>
        </w:rPr>
        <w:t>0%的违约金，同时追究乙方责任。</w:t>
      </w:r>
    </w:p>
    <w:p>
      <w:pPr>
        <w:pStyle w:val="15"/>
        <w:adjustRightInd w:val="0"/>
        <w:snapToGrid w:val="0"/>
        <w:spacing w:line="360" w:lineRule="auto"/>
        <w:ind w:firstLine="360" w:firstLineChars="150"/>
        <w:rPr>
          <w:rFonts w:ascii="宋体" w:hAnsi="宋体"/>
          <w:color w:val="auto"/>
          <w:sz w:val="24"/>
        </w:rPr>
      </w:pPr>
      <w:r>
        <w:rPr>
          <w:rFonts w:hint="eastAsia" w:ascii="宋体" w:hAnsi="宋体"/>
          <w:color w:val="auto"/>
          <w:sz w:val="24"/>
        </w:rPr>
        <w:t xml:space="preserve"> 5.</w:t>
      </w:r>
      <w:r>
        <w:rPr>
          <w:rFonts w:ascii="宋体" w:hAnsi="宋体"/>
          <w:color w:val="auto"/>
          <w:sz w:val="24"/>
        </w:rPr>
        <w:t xml:space="preserve"> </w:t>
      </w:r>
      <w:r>
        <w:rPr>
          <w:rFonts w:hint="eastAsia" w:ascii="宋体" w:hAnsi="宋体"/>
          <w:color w:val="auto"/>
          <w:sz w:val="24"/>
        </w:rPr>
        <w:t>乙方将货物送达指定地点后和安装过程中，甲方发现乙方所供</w:t>
      </w:r>
      <w:r>
        <w:rPr>
          <w:rFonts w:hint="eastAsia" w:asciiTheme="majorEastAsia" w:hAnsiTheme="majorEastAsia" w:eastAsiaTheme="majorEastAsia"/>
          <w:color w:val="auto"/>
          <w:sz w:val="24"/>
        </w:rPr>
        <w:t>货物（设备）</w:t>
      </w:r>
      <w:r>
        <w:rPr>
          <w:rFonts w:hint="eastAsia" w:ascii="宋体" w:hAnsi="宋体"/>
          <w:color w:val="auto"/>
          <w:sz w:val="24"/>
        </w:rPr>
        <w:t>、配件、施工工艺等不符合合同约定，甲方有权对乙方进行每次不低于10000元的违约金处罚，并有权单方解除合同，由此产生的一切费用由乙方承担。</w:t>
      </w:r>
    </w:p>
    <w:p>
      <w:pPr>
        <w:pStyle w:val="15"/>
        <w:adjustRightInd w:val="0"/>
        <w:snapToGrid w:val="0"/>
        <w:spacing w:line="360" w:lineRule="auto"/>
        <w:ind w:firstLine="360" w:firstLineChars="150"/>
        <w:rPr>
          <w:rFonts w:ascii="宋体" w:hAnsi="宋体"/>
          <w:color w:val="auto"/>
          <w:sz w:val="24"/>
        </w:rPr>
      </w:pPr>
      <w:r>
        <w:rPr>
          <w:rFonts w:hint="eastAsia" w:ascii="宋体" w:hAnsi="宋体"/>
          <w:color w:val="auto"/>
          <w:sz w:val="24"/>
        </w:rPr>
        <w:t xml:space="preserve"> 6.</w:t>
      </w:r>
      <w:r>
        <w:rPr>
          <w:rFonts w:ascii="宋体" w:hAnsi="宋体"/>
          <w:color w:val="auto"/>
          <w:sz w:val="24"/>
        </w:rPr>
        <w:t xml:space="preserve"> </w:t>
      </w:r>
      <w:r>
        <w:rPr>
          <w:rFonts w:hint="eastAsia" w:ascii="宋体" w:hAnsi="宋体"/>
          <w:color w:val="auto"/>
          <w:sz w:val="24"/>
        </w:rPr>
        <w:t>当违约金超过履约保证金时，超过部分甲方有权从合同总价款中扣除或要求乙方另行支付，用于补偿违约金不足的部分。</w:t>
      </w:r>
    </w:p>
    <w:p>
      <w:pPr>
        <w:pStyle w:val="15"/>
        <w:adjustRightInd w:val="0"/>
        <w:snapToGrid w:val="0"/>
        <w:spacing w:line="360" w:lineRule="auto"/>
        <w:ind w:firstLine="480" w:firstLineChars="200"/>
        <w:rPr>
          <w:rFonts w:ascii="宋体" w:hAnsi="宋体"/>
          <w:color w:val="auto"/>
          <w:sz w:val="24"/>
        </w:rPr>
      </w:pPr>
      <w:r>
        <w:rPr>
          <w:rFonts w:hint="eastAsia" w:ascii="宋体" w:hAnsi="宋体"/>
          <w:color w:val="auto"/>
          <w:sz w:val="24"/>
        </w:rPr>
        <w:t>7.</w:t>
      </w:r>
      <w:r>
        <w:rPr>
          <w:rFonts w:ascii="宋体" w:hAnsi="宋体"/>
          <w:color w:val="auto"/>
          <w:sz w:val="24"/>
        </w:rPr>
        <w:t xml:space="preserve"> </w:t>
      </w:r>
      <w:r>
        <w:rPr>
          <w:rFonts w:hint="eastAsia" w:ascii="宋体" w:hAnsi="宋体"/>
          <w:color w:val="auto"/>
          <w:sz w:val="24"/>
        </w:rPr>
        <w:t>项目验收合格后，因甲方原因未按期支付货款的，应按</w:t>
      </w:r>
      <w:r>
        <w:rPr>
          <w:rFonts w:hint="eastAsia"/>
          <w:color w:val="auto"/>
          <w:sz w:val="24"/>
          <w:szCs w:val="24"/>
        </w:rPr>
        <w:t>全国银行间同业拆借中心公布的一年期贷款市场报价利率</w:t>
      </w:r>
      <w:r>
        <w:rPr>
          <w:rFonts w:hint="eastAsia" w:ascii="宋体" w:hAnsi="宋体"/>
          <w:color w:val="auto"/>
          <w:sz w:val="24"/>
        </w:rPr>
        <w:t>补偿乙方损失。</w:t>
      </w:r>
    </w:p>
    <w:p>
      <w:pPr>
        <w:spacing w:line="360" w:lineRule="auto"/>
        <w:ind w:firstLine="480" w:firstLineChars="200"/>
        <w:rPr>
          <w:rFonts w:ascii="宋体" w:hAnsi="宋体"/>
          <w:color w:val="auto"/>
          <w:sz w:val="24"/>
        </w:rPr>
      </w:pPr>
      <w:r>
        <w:rPr>
          <w:rFonts w:hint="eastAsia" w:ascii="宋体" w:hAnsi="宋体"/>
          <w:color w:val="auto"/>
          <w:sz w:val="24"/>
        </w:rPr>
        <w:t>8.</w:t>
      </w:r>
      <w:r>
        <w:rPr>
          <w:rFonts w:ascii="宋体" w:hAnsi="宋体"/>
          <w:color w:val="auto"/>
          <w:sz w:val="24"/>
        </w:rPr>
        <w:t xml:space="preserve"> </w:t>
      </w:r>
      <w:r>
        <w:rPr>
          <w:rFonts w:hint="eastAsia" w:ascii="宋体" w:hAnsi="宋体"/>
          <w:color w:val="auto"/>
          <w:sz w:val="24"/>
        </w:rPr>
        <w:t>本货物（设备）的免费质保期为</w:t>
      </w:r>
      <w:r>
        <w:rPr>
          <w:rFonts w:hint="eastAsia" w:ascii="宋体" w:hAnsi="宋体"/>
          <w:color w:val="auto"/>
          <w:sz w:val="24"/>
          <w:u w:val="single"/>
        </w:rPr>
        <w:t xml:space="preserve">    </w:t>
      </w:r>
      <w:r>
        <w:rPr>
          <w:rFonts w:hint="eastAsia" w:ascii="宋体" w:hAnsi="宋体"/>
          <w:color w:val="auto"/>
          <w:sz w:val="24"/>
        </w:rPr>
        <w:t>年，如乙方违反《售后服务承诺》约定未及时履行保修义务的，每发生一次，乙方应向甲方支付违约金10000元。甲方因乙方违约而委托第三方进行维修所产生的相应维修费用，甲方有权要求乙方另行支付。</w:t>
      </w:r>
    </w:p>
    <w:p>
      <w:pPr>
        <w:spacing w:line="360" w:lineRule="auto"/>
        <w:ind w:firstLine="480" w:firstLineChars="200"/>
        <w:rPr>
          <w:rFonts w:hint="eastAsia" w:ascii="宋体" w:hAnsi="宋体"/>
          <w:color w:val="auto"/>
          <w:sz w:val="24"/>
        </w:rPr>
      </w:pPr>
      <w:r>
        <w:rPr>
          <w:rFonts w:hint="eastAsia" w:ascii="宋体" w:hAnsi="宋体"/>
          <w:color w:val="auto"/>
          <w:sz w:val="24"/>
        </w:rPr>
        <w:t>9.</w:t>
      </w:r>
      <w:r>
        <w:rPr>
          <w:rFonts w:ascii="宋体" w:hAnsi="宋体"/>
          <w:color w:val="auto"/>
          <w:sz w:val="24"/>
        </w:rPr>
        <w:t xml:space="preserve"> </w:t>
      </w:r>
      <w:r>
        <w:rPr>
          <w:rFonts w:hint="eastAsia" w:ascii="宋体" w:hAnsi="宋体"/>
          <w:color w:val="auto"/>
          <w:sz w:val="24"/>
        </w:rPr>
        <w:t>在合同履约期内，若乙方出现违约行为，将不予退还履约保证金。履约保证金被扣除后余额不足的，乙方须在3天内补足。</w:t>
      </w:r>
    </w:p>
    <w:p>
      <w:pPr>
        <w:spacing w:line="360" w:lineRule="auto"/>
        <w:ind w:firstLine="480" w:firstLineChars="200"/>
        <w:rPr>
          <w:rFonts w:hint="eastAsia" w:ascii="宋体" w:hAnsi="宋体"/>
          <w:color w:val="auto"/>
          <w:sz w:val="24"/>
        </w:rPr>
      </w:pPr>
    </w:p>
    <w:p>
      <w:pPr>
        <w:spacing w:line="360" w:lineRule="auto"/>
        <w:rPr>
          <w:rFonts w:ascii="宋体" w:hAnsi="宋体"/>
          <w:b/>
          <w:color w:val="auto"/>
          <w:sz w:val="24"/>
        </w:rPr>
      </w:pPr>
      <w:r>
        <w:rPr>
          <w:rFonts w:hint="eastAsia" w:ascii="宋体" w:hAnsi="宋体"/>
          <w:b/>
          <w:color w:val="auto"/>
          <w:sz w:val="24"/>
        </w:rPr>
        <w:t xml:space="preserve">    十、争议解决</w:t>
      </w:r>
    </w:p>
    <w:p>
      <w:pPr>
        <w:spacing w:line="360" w:lineRule="auto"/>
        <w:ind w:firstLine="480" w:firstLineChars="200"/>
        <w:rPr>
          <w:rFonts w:ascii="宋体" w:hAnsi="宋体"/>
          <w:color w:val="auto"/>
          <w:sz w:val="24"/>
        </w:rPr>
      </w:pPr>
      <w:r>
        <w:rPr>
          <w:rFonts w:hint="eastAsia" w:ascii="宋体" w:hAnsi="宋体"/>
          <w:color w:val="auto"/>
          <w:sz w:val="24"/>
        </w:rPr>
        <w:t>本合同的签订和履行，适用中华人民共和国法律。</w:t>
      </w:r>
    </w:p>
    <w:p>
      <w:pPr>
        <w:spacing w:line="360" w:lineRule="auto"/>
        <w:ind w:firstLine="480" w:firstLineChars="200"/>
        <w:rPr>
          <w:rFonts w:ascii="宋体" w:hAnsi="宋体"/>
          <w:color w:val="auto"/>
          <w:sz w:val="24"/>
        </w:rPr>
      </w:pPr>
      <w:r>
        <w:rPr>
          <w:rFonts w:hint="eastAsia" w:ascii="宋体" w:hAnsi="宋体"/>
          <w:color w:val="auto"/>
          <w:sz w:val="24"/>
        </w:rPr>
        <w:t>甲乙双方因质量问题发生争议，由合同签署地点或上一级质量技术鉴定单位进行质量鉴定。经鉴定质量合格，鉴定费由甲方承担；鉴定质量不合格，鉴定费用由乙方承担，并承担违约责任，同时甲方有权解除合同。甲乙方任何一方也可直接起诉。</w:t>
      </w:r>
    </w:p>
    <w:p>
      <w:pPr>
        <w:spacing w:line="360" w:lineRule="auto"/>
        <w:ind w:firstLine="480" w:firstLineChars="200"/>
        <w:rPr>
          <w:rFonts w:ascii="宋体" w:hAnsi="宋体"/>
          <w:color w:val="auto"/>
          <w:sz w:val="24"/>
        </w:rPr>
      </w:pPr>
      <w:r>
        <w:rPr>
          <w:rFonts w:hint="eastAsia" w:ascii="宋体" w:hAnsi="宋体"/>
          <w:color w:val="auto"/>
          <w:sz w:val="24"/>
        </w:rPr>
        <w:t>因履行合同发生的争议，由甲乙双方直接协商解决，如协商不成可向合同签署地点的人民法院诉讼。</w:t>
      </w:r>
    </w:p>
    <w:p>
      <w:pPr>
        <w:adjustRightInd w:val="0"/>
        <w:snapToGrid w:val="0"/>
        <w:spacing w:line="360" w:lineRule="auto"/>
        <w:ind w:firstLine="480" w:firstLineChars="200"/>
        <w:rPr>
          <w:rFonts w:ascii="宋体" w:hAnsi="宋体"/>
          <w:color w:val="auto"/>
          <w:sz w:val="24"/>
        </w:rPr>
      </w:pPr>
      <w:r>
        <w:rPr>
          <w:rFonts w:hint="eastAsia" w:ascii="宋体" w:hAnsi="宋体"/>
          <w:color w:val="auto"/>
          <w:sz w:val="24"/>
        </w:rPr>
        <w:t>甲乙双方以签订合同时各自法人登记注册地为有效的送达地址，在合同履行过程中，送达到该地址视为有效送达</w:t>
      </w:r>
      <w:r>
        <w:rPr>
          <w:rFonts w:hint="eastAsia" w:ascii="宋体" w:hAnsi="宋体"/>
          <w:color w:val="auto"/>
          <w:sz w:val="28"/>
          <w:szCs w:val="28"/>
        </w:rPr>
        <w:t>；</w:t>
      </w:r>
      <w:r>
        <w:rPr>
          <w:rFonts w:hint="eastAsia" w:ascii="宋体" w:hAnsi="宋体"/>
          <w:color w:val="auto"/>
          <w:sz w:val="24"/>
        </w:rPr>
        <w:t>如发生诉讼，该地址作为全部诉讼程序和执行程序的送达地址，具有发生在人民法院签署送达地址确认书的法律效力。如变更送达地址，需书面告知对方。</w:t>
      </w:r>
    </w:p>
    <w:p>
      <w:pPr>
        <w:spacing w:line="360" w:lineRule="auto"/>
        <w:ind w:firstLine="482" w:firstLineChars="200"/>
        <w:rPr>
          <w:rFonts w:ascii="宋体" w:hAnsi="宋体"/>
          <w:b/>
          <w:color w:val="auto"/>
          <w:sz w:val="24"/>
        </w:rPr>
      </w:pPr>
      <w:r>
        <w:rPr>
          <w:rFonts w:hint="eastAsia" w:ascii="宋体" w:hAnsi="宋体"/>
          <w:b/>
          <w:color w:val="auto"/>
          <w:sz w:val="24"/>
        </w:rPr>
        <w:t>十一、合同生效及其他</w:t>
      </w:r>
    </w:p>
    <w:p>
      <w:pPr>
        <w:spacing w:line="360" w:lineRule="auto"/>
        <w:ind w:firstLine="480" w:firstLineChars="200"/>
        <w:rPr>
          <w:rFonts w:ascii="宋体" w:hAnsi="宋体" w:cs="仿宋"/>
          <w:color w:val="auto"/>
          <w:sz w:val="24"/>
        </w:rPr>
      </w:pPr>
      <w:r>
        <w:rPr>
          <w:rFonts w:hint="eastAsia" w:ascii="宋体" w:hAnsi="宋体"/>
          <w:color w:val="auto"/>
          <w:sz w:val="24"/>
        </w:rPr>
        <w:t>1. 本合同一式陆份，甲方肆份、乙方贰份，经甲乙双方代表签字、加盖公章后生效，合同履行完成后自行终止。</w:t>
      </w:r>
      <w:r>
        <w:rPr>
          <w:rFonts w:hint="eastAsia" w:ascii="宋体" w:hAnsi="宋体" w:cs="仿宋"/>
          <w:color w:val="auto"/>
          <w:sz w:val="24"/>
        </w:rPr>
        <w:t>招标（采购）和投标（响应性）文件为本合同组成部分。</w:t>
      </w:r>
    </w:p>
    <w:p>
      <w:pPr>
        <w:spacing w:line="360" w:lineRule="auto"/>
        <w:ind w:firstLine="480" w:firstLineChars="200"/>
        <w:rPr>
          <w:rFonts w:ascii="宋体" w:hAnsi="宋体" w:cs="仿宋"/>
          <w:color w:val="auto"/>
          <w:sz w:val="24"/>
        </w:rPr>
      </w:pPr>
      <w:r>
        <w:rPr>
          <w:rFonts w:hint="eastAsia" w:ascii="宋体" w:hAnsi="宋体" w:cs="仿宋"/>
          <w:color w:val="auto"/>
          <w:sz w:val="24"/>
        </w:rPr>
        <w:t>2. 组成本合同的文件及解释顺序为：本合同及补充条款、中标通知书、投标（响应性）文件及其附件；招标（采购）文件及补充通知。如果乙方的投标（响应性）文件及其附件高于国家行业标准的，以投标文件及其附件为准。</w:t>
      </w:r>
    </w:p>
    <w:p>
      <w:pPr>
        <w:spacing w:line="360" w:lineRule="auto"/>
        <w:ind w:firstLine="480" w:firstLineChars="200"/>
        <w:rPr>
          <w:rFonts w:ascii="宋体" w:hAnsi="宋体"/>
          <w:color w:val="auto"/>
          <w:sz w:val="24"/>
        </w:rPr>
      </w:pPr>
      <w:r>
        <w:rPr>
          <w:rFonts w:hint="eastAsia" w:ascii="宋体" w:hAnsi="宋体"/>
          <w:color w:val="auto"/>
          <w:sz w:val="24"/>
        </w:rPr>
        <w:t>3. 本合同生效之后，任何一方违反本合同规定，除了承担违约金外，还要承担守约方向违约方追究违约责任所支付的一切费用。</w:t>
      </w:r>
    </w:p>
    <w:p>
      <w:pPr>
        <w:spacing w:line="360" w:lineRule="auto"/>
        <w:ind w:firstLine="480" w:firstLineChars="200"/>
        <w:rPr>
          <w:rFonts w:ascii="宋体" w:hAnsi="宋体"/>
          <w:color w:val="auto"/>
          <w:sz w:val="24"/>
        </w:rPr>
      </w:pPr>
      <w:r>
        <w:rPr>
          <w:rFonts w:hint="eastAsia" w:ascii="宋体" w:hAnsi="宋体"/>
          <w:color w:val="auto"/>
          <w:sz w:val="24"/>
        </w:rPr>
        <w:t>4. 本合同未尽事宜，供需双方可签订补充协议，与本合同具有同等法律效力。</w:t>
      </w:r>
    </w:p>
    <w:p>
      <w:pPr>
        <w:spacing w:line="360" w:lineRule="auto"/>
        <w:ind w:firstLine="480" w:firstLineChars="200"/>
        <w:jc w:val="left"/>
        <w:rPr>
          <w:rFonts w:ascii="楷体" w:hAnsi="楷体" w:eastAsia="楷体"/>
          <w:color w:val="auto"/>
          <w:sz w:val="24"/>
        </w:rPr>
      </w:pPr>
      <w:r>
        <w:rPr>
          <w:rFonts w:hint="eastAsia" w:ascii="宋体" w:hAnsi="宋体"/>
          <w:color w:val="auto"/>
          <w:sz w:val="24"/>
        </w:rPr>
        <w:t>5</w:t>
      </w:r>
      <w:r>
        <w:rPr>
          <w:rFonts w:ascii="宋体" w:hAnsi="宋体"/>
          <w:color w:val="auto"/>
          <w:sz w:val="24"/>
        </w:rPr>
        <w:t>.</w:t>
      </w:r>
      <w:r>
        <w:rPr>
          <w:rFonts w:hint="eastAsia" w:ascii="宋体" w:hAnsi="宋体"/>
          <w:color w:val="auto"/>
          <w:sz w:val="24"/>
        </w:rPr>
        <w:t xml:space="preserve"> 技术规格书(技术参数及要求)、售后服务承诺均为本合同附件，与本合同具有同等效力。</w:t>
      </w:r>
      <w:r>
        <w:rPr>
          <w:rFonts w:hint="eastAsia" w:ascii="楷体" w:hAnsi="楷体" w:eastAsia="楷体"/>
          <w:color w:val="auto"/>
          <w:sz w:val="24"/>
          <w:u w:val="single"/>
        </w:rPr>
        <w:t>（</w:t>
      </w:r>
      <w:r>
        <w:rPr>
          <w:rFonts w:hint="eastAsia" w:ascii="楷体" w:hAnsi="楷体" w:eastAsia="楷体"/>
          <w:i/>
          <w:iCs/>
          <w:color w:val="auto"/>
          <w:sz w:val="24"/>
          <w:u w:val="single"/>
        </w:rPr>
        <w:t>合同附件须各方加盖公章，合同正式文本中请删去本括号内的内容</w:t>
      </w:r>
      <w:r>
        <w:rPr>
          <w:rFonts w:hint="eastAsia" w:ascii="楷体" w:hAnsi="楷体" w:eastAsia="楷体"/>
          <w:color w:val="auto"/>
          <w:sz w:val="24"/>
          <w:u w:val="single"/>
        </w:rPr>
        <w:t>）</w:t>
      </w:r>
    </w:p>
    <w:p>
      <w:pPr>
        <w:spacing w:line="360" w:lineRule="auto"/>
        <w:ind w:firstLine="480" w:firstLineChars="200"/>
        <w:rPr>
          <w:rFonts w:ascii="宋体" w:hAnsi="宋体"/>
          <w:color w:val="auto"/>
          <w:sz w:val="24"/>
        </w:rPr>
      </w:pPr>
      <w:r>
        <w:rPr>
          <w:rFonts w:hint="eastAsia" w:ascii="宋体" w:hAnsi="宋体"/>
          <w:color w:val="auto"/>
          <w:sz w:val="24"/>
        </w:rPr>
        <w:t>（下无正文）</w:t>
      </w:r>
    </w:p>
    <w:p>
      <w:pPr>
        <w:adjustRightInd w:val="0"/>
        <w:snapToGrid w:val="0"/>
        <w:spacing w:line="360" w:lineRule="auto"/>
        <w:ind w:firstLine="480" w:firstLineChars="200"/>
        <w:rPr>
          <w:rFonts w:ascii="宋体" w:hAnsi="宋体" w:cs="仿宋"/>
          <w:color w:val="auto"/>
          <w:sz w:val="24"/>
        </w:rPr>
      </w:pPr>
    </w:p>
    <w:p>
      <w:pPr>
        <w:adjustRightInd w:val="0"/>
        <w:snapToGrid w:val="0"/>
        <w:spacing w:line="360" w:lineRule="auto"/>
        <w:ind w:firstLine="480" w:firstLineChars="200"/>
        <w:rPr>
          <w:rFonts w:ascii="宋体" w:hAnsi="宋体" w:cs="仿宋"/>
          <w:color w:val="auto"/>
          <w:sz w:val="24"/>
        </w:rPr>
      </w:pPr>
    </w:p>
    <w:p>
      <w:pPr>
        <w:adjustRightInd w:val="0"/>
        <w:snapToGrid w:val="0"/>
        <w:spacing w:line="360" w:lineRule="auto"/>
        <w:ind w:firstLine="480" w:firstLineChars="200"/>
        <w:rPr>
          <w:rFonts w:ascii="宋体" w:hAnsi="宋体" w:cs="仿宋"/>
          <w:color w:val="auto"/>
          <w:sz w:val="24"/>
        </w:rPr>
      </w:pPr>
    </w:p>
    <w:p>
      <w:pPr>
        <w:adjustRightInd w:val="0"/>
        <w:snapToGrid w:val="0"/>
        <w:spacing w:line="360" w:lineRule="auto"/>
        <w:ind w:firstLine="480" w:firstLineChars="200"/>
        <w:rPr>
          <w:rFonts w:ascii="宋体" w:hAnsi="宋体" w:cs="仿宋"/>
          <w:color w:val="auto"/>
          <w:sz w:val="24"/>
        </w:rPr>
      </w:pPr>
      <w:bookmarkStart w:id="0" w:name="_GoBack"/>
      <w:bookmarkEnd w:id="0"/>
    </w:p>
    <w:p>
      <w:pPr>
        <w:adjustRightInd w:val="0"/>
        <w:snapToGrid w:val="0"/>
        <w:spacing w:line="360" w:lineRule="auto"/>
        <w:ind w:left="-105" w:leftChars="-50" w:firstLine="480" w:firstLineChars="200"/>
        <w:rPr>
          <w:rFonts w:ascii="宋体" w:hAnsi="宋体"/>
          <w:color w:val="auto"/>
          <w:sz w:val="24"/>
        </w:rPr>
      </w:pPr>
      <w:r>
        <w:rPr>
          <w:rFonts w:hint="eastAsia" w:ascii="宋体" w:hAnsi="宋体"/>
          <w:color w:val="auto"/>
          <w:sz w:val="24"/>
        </w:rPr>
        <w:t xml:space="preserve">甲方：新乡医学院                   </w:t>
      </w:r>
      <w:r>
        <w:rPr>
          <w:rFonts w:ascii="宋体" w:hAnsi="宋体"/>
          <w:color w:val="auto"/>
          <w:sz w:val="24"/>
        </w:rPr>
        <w:t xml:space="preserve">      </w:t>
      </w:r>
      <w:r>
        <w:rPr>
          <w:rFonts w:hint="eastAsia" w:ascii="宋体" w:hAnsi="宋体"/>
          <w:color w:val="auto"/>
          <w:sz w:val="24"/>
        </w:rPr>
        <w:t>乙方：</w:t>
      </w:r>
    </w:p>
    <w:p>
      <w:pPr>
        <w:adjustRightInd w:val="0"/>
        <w:snapToGrid w:val="0"/>
        <w:spacing w:line="360" w:lineRule="auto"/>
        <w:ind w:left="-105" w:leftChars="-50" w:firstLine="480" w:firstLineChars="200"/>
        <w:rPr>
          <w:rFonts w:hint="eastAsia" w:ascii="宋体" w:hAnsi="宋体"/>
          <w:color w:val="auto"/>
          <w:sz w:val="24"/>
          <w:szCs w:val="24"/>
        </w:rPr>
      </w:pPr>
      <w:r>
        <w:rPr>
          <w:rFonts w:hint="eastAsia" w:ascii="宋体" w:hAnsi="宋体"/>
          <w:color w:val="auto"/>
          <w:sz w:val="24"/>
        </w:rPr>
        <w:t xml:space="preserve">委托代理人签字：           </w:t>
      </w:r>
      <w:r>
        <w:rPr>
          <w:rFonts w:ascii="宋体" w:hAnsi="宋体"/>
          <w:color w:val="auto"/>
          <w:sz w:val="24"/>
        </w:rPr>
        <w:t xml:space="preserve">              </w:t>
      </w:r>
      <w:r>
        <w:rPr>
          <w:rFonts w:hint="eastAsia" w:ascii="宋体" w:hAnsi="宋体"/>
          <w:color w:val="auto"/>
          <w:sz w:val="24"/>
          <w:szCs w:val="24"/>
        </w:rPr>
        <w:t>法人代表或委托代理人</w:t>
      </w:r>
    </w:p>
    <w:p>
      <w:pPr>
        <w:adjustRightInd w:val="0"/>
        <w:snapToGrid w:val="0"/>
        <w:spacing w:line="360" w:lineRule="auto"/>
        <w:ind w:left="-105" w:leftChars="-50" w:firstLine="5280" w:firstLineChars="2200"/>
        <w:rPr>
          <w:rFonts w:ascii="宋体" w:hAnsi="宋体"/>
          <w:color w:val="auto"/>
          <w:sz w:val="24"/>
          <w:szCs w:val="24"/>
        </w:rPr>
      </w:pPr>
      <w:r>
        <w:rPr>
          <w:rFonts w:hint="eastAsia" w:ascii="宋体" w:hAnsi="宋体"/>
          <w:color w:val="auto"/>
          <w:sz w:val="24"/>
          <w:szCs w:val="24"/>
        </w:rPr>
        <w:t>（</w:t>
      </w:r>
      <w:r>
        <w:rPr>
          <w:rFonts w:hint="eastAsia"/>
          <w:color w:val="auto"/>
          <w:sz w:val="24"/>
          <w:szCs w:val="24"/>
        </w:rPr>
        <w:t>附授权委托书</w:t>
      </w:r>
      <w:r>
        <w:rPr>
          <w:rFonts w:hint="eastAsia" w:ascii="宋体" w:hAnsi="宋体"/>
          <w:color w:val="auto"/>
          <w:sz w:val="24"/>
          <w:szCs w:val="24"/>
        </w:rPr>
        <w:t>）签字：</w:t>
      </w:r>
    </w:p>
    <w:p>
      <w:pPr>
        <w:spacing w:line="360" w:lineRule="auto"/>
        <w:ind w:left="420" w:leftChars="200"/>
        <w:rPr>
          <w:rFonts w:ascii="宋体" w:hAnsi="宋体"/>
          <w:color w:val="auto"/>
          <w:sz w:val="24"/>
        </w:rPr>
      </w:pPr>
      <w:r>
        <w:rPr>
          <w:rFonts w:hint="eastAsia" w:ascii="宋体" w:hAnsi="宋体"/>
          <w:color w:val="auto"/>
          <w:sz w:val="24"/>
        </w:rPr>
        <w:t>地址：新乡市金穗大道6</w:t>
      </w:r>
      <w:r>
        <w:rPr>
          <w:rFonts w:ascii="宋体" w:hAnsi="宋体"/>
          <w:color w:val="auto"/>
          <w:sz w:val="24"/>
        </w:rPr>
        <w:t>01</w:t>
      </w:r>
      <w:r>
        <w:rPr>
          <w:rFonts w:hint="eastAsia" w:ascii="宋体" w:hAnsi="宋体"/>
          <w:color w:val="auto"/>
          <w:sz w:val="24"/>
        </w:rPr>
        <w:t xml:space="preserve">号       </w:t>
      </w:r>
      <w:r>
        <w:rPr>
          <w:rFonts w:ascii="宋体" w:hAnsi="宋体"/>
          <w:color w:val="auto"/>
          <w:sz w:val="24"/>
        </w:rPr>
        <w:t xml:space="preserve">        </w:t>
      </w:r>
      <w:r>
        <w:rPr>
          <w:rFonts w:hint="eastAsia" w:ascii="宋体" w:hAnsi="宋体"/>
          <w:color w:val="auto"/>
          <w:sz w:val="24"/>
        </w:rPr>
        <w:t>地址：</w:t>
      </w:r>
    </w:p>
    <w:p>
      <w:pPr>
        <w:spacing w:line="360" w:lineRule="auto"/>
        <w:ind w:left="420" w:leftChars="200"/>
        <w:rPr>
          <w:rFonts w:ascii="宋体" w:hAnsi="宋体"/>
          <w:color w:val="auto"/>
          <w:sz w:val="24"/>
        </w:rPr>
      </w:pPr>
      <w:r>
        <w:rPr>
          <w:rFonts w:hint="eastAsia" w:ascii="宋体" w:hAnsi="宋体"/>
          <w:color w:val="auto"/>
          <w:sz w:val="24"/>
        </w:rPr>
        <w:t xml:space="preserve">电话：                               </w:t>
      </w:r>
      <w:r>
        <w:rPr>
          <w:rFonts w:ascii="宋体" w:hAnsi="宋体"/>
          <w:color w:val="auto"/>
          <w:sz w:val="24"/>
        </w:rPr>
        <w:t xml:space="preserve">   </w:t>
      </w:r>
      <w:r>
        <w:rPr>
          <w:rFonts w:hint="eastAsia" w:ascii="宋体" w:hAnsi="宋体"/>
          <w:color w:val="auto"/>
          <w:sz w:val="24"/>
        </w:rPr>
        <w:t xml:space="preserve"> 电话：</w:t>
      </w:r>
    </w:p>
    <w:p>
      <w:pPr>
        <w:spacing w:line="360" w:lineRule="auto"/>
        <w:ind w:left="420" w:leftChars="200"/>
        <w:rPr>
          <w:rFonts w:ascii="宋体" w:hAnsi="宋体"/>
          <w:color w:val="auto"/>
          <w:sz w:val="24"/>
        </w:rPr>
      </w:pPr>
      <w:r>
        <w:rPr>
          <w:rFonts w:hint="eastAsia" w:ascii="宋体" w:hAnsi="宋体"/>
          <w:color w:val="auto"/>
          <w:sz w:val="24"/>
        </w:rPr>
        <w:t xml:space="preserve">开户银行：建行新乡洪门支行 </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开户银行： </w:t>
      </w:r>
    </w:p>
    <w:p>
      <w:pPr>
        <w:spacing w:line="360" w:lineRule="auto"/>
        <w:ind w:left="420" w:leftChars="200"/>
        <w:rPr>
          <w:rFonts w:ascii="宋体" w:hAnsi="宋体"/>
          <w:color w:val="auto"/>
          <w:sz w:val="24"/>
        </w:rPr>
      </w:pPr>
      <w:r>
        <w:rPr>
          <w:rFonts w:hint="eastAsia" w:ascii="宋体" w:hAnsi="宋体"/>
          <w:color w:val="auto"/>
          <w:sz w:val="24"/>
        </w:rPr>
        <w:t>账号：</w:t>
      </w:r>
      <w:r>
        <w:rPr>
          <w:rFonts w:ascii="宋体" w:hAnsi="宋体"/>
          <w:color w:val="auto"/>
          <w:sz w:val="24"/>
        </w:rPr>
        <w:t>4100 1561 7100 5000 1165</w:t>
      </w: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 账号：</w:t>
      </w:r>
    </w:p>
    <w:p>
      <w:pPr>
        <w:spacing w:line="360" w:lineRule="auto"/>
        <w:rPr>
          <w:rFonts w:ascii="宋体" w:hAnsi="宋体"/>
          <w:color w:val="auto"/>
          <w:sz w:val="24"/>
        </w:rPr>
      </w:pPr>
    </w:p>
    <w:sectPr>
      <w:footerReference r:id="rId3" w:type="default"/>
      <w:pgSz w:w="11906" w:h="16838"/>
      <w:pgMar w:top="1588" w:right="1588" w:bottom="141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swiss"/>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2988955"/>
    </w:sdtPr>
    <w:sdtContent>
      <w:p>
        <w:pPr>
          <w:pStyle w:val="5"/>
          <w:jc w:val="center"/>
        </w:pPr>
        <w:r>
          <w:fldChar w:fldCharType="begin"/>
        </w:r>
        <w:r>
          <w:instrText xml:space="preserve"> PAGE   \* MERGEFORMAT </w:instrText>
        </w:r>
        <w:r>
          <w:fldChar w:fldCharType="separate"/>
        </w:r>
        <w:r>
          <w:rPr>
            <w:lang w:val="zh-CN"/>
          </w:rPr>
          <w:t>6</w:t>
        </w:r>
        <w:r>
          <w:rPr>
            <w:lang w:val="zh-CN"/>
          </w:rPr>
          <w:fldChar w:fldCharType="end"/>
        </w:r>
      </w:p>
    </w:sdtContent>
  </w:sdt>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DB6D4C"/>
    <w:multiLevelType w:val="multilevel"/>
    <w:tmpl w:val="6FDB6D4C"/>
    <w:lvl w:ilvl="0" w:tentative="0">
      <w:start w:val="1"/>
      <w:numFmt w:val="japaneseCounting"/>
      <w:lvlText w:val="%1、"/>
      <w:lvlJc w:val="left"/>
      <w:pPr>
        <w:ind w:left="1320" w:hanging="72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U0ZTQ4NjYzMTQxYTQ1Zjg0NzE5ZmJmYWU5NDBkZGQifQ=="/>
  </w:docVars>
  <w:rsids>
    <w:rsidRoot w:val="00AF6A0F"/>
    <w:rsid w:val="00001198"/>
    <w:rsid w:val="00001362"/>
    <w:rsid w:val="00002E89"/>
    <w:rsid w:val="00006A06"/>
    <w:rsid w:val="0000727E"/>
    <w:rsid w:val="00012EF5"/>
    <w:rsid w:val="00022431"/>
    <w:rsid w:val="00027EC9"/>
    <w:rsid w:val="000304CD"/>
    <w:rsid w:val="00030D76"/>
    <w:rsid w:val="0003278F"/>
    <w:rsid w:val="00037921"/>
    <w:rsid w:val="000407CD"/>
    <w:rsid w:val="000454C5"/>
    <w:rsid w:val="000477E5"/>
    <w:rsid w:val="000575F2"/>
    <w:rsid w:val="00070751"/>
    <w:rsid w:val="000730C4"/>
    <w:rsid w:val="00077363"/>
    <w:rsid w:val="000964D0"/>
    <w:rsid w:val="000A38E2"/>
    <w:rsid w:val="000A411C"/>
    <w:rsid w:val="000A56EB"/>
    <w:rsid w:val="000A63E0"/>
    <w:rsid w:val="000B3463"/>
    <w:rsid w:val="000C75DA"/>
    <w:rsid w:val="000C7925"/>
    <w:rsid w:val="000D5C28"/>
    <w:rsid w:val="000D7898"/>
    <w:rsid w:val="000E20DB"/>
    <w:rsid w:val="000E3512"/>
    <w:rsid w:val="000E5A33"/>
    <w:rsid w:val="000E6072"/>
    <w:rsid w:val="000F2F63"/>
    <w:rsid w:val="000F4BEB"/>
    <w:rsid w:val="0010089E"/>
    <w:rsid w:val="001118F4"/>
    <w:rsid w:val="001152B9"/>
    <w:rsid w:val="00115AE5"/>
    <w:rsid w:val="0011639E"/>
    <w:rsid w:val="00125CCC"/>
    <w:rsid w:val="00127A0E"/>
    <w:rsid w:val="00134939"/>
    <w:rsid w:val="0013599C"/>
    <w:rsid w:val="0014171B"/>
    <w:rsid w:val="00143200"/>
    <w:rsid w:val="001504B0"/>
    <w:rsid w:val="00152D43"/>
    <w:rsid w:val="001539DC"/>
    <w:rsid w:val="00157175"/>
    <w:rsid w:val="00157A3D"/>
    <w:rsid w:val="00161654"/>
    <w:rsid w:val="001713B0"/>
    <w:rsid w:val="00182AC7"/>
    <w:rsid w:val="00182E08"/>
    <w:rsid w:val="00184911"/>
    <w:rsid w:val="00185160"/>
    <w:rsid w:val="001954E3"/>
    <w:rsid w:val="001A15F9"/>
    <w:rsid w:val="001A58E9"/>
    <w:rsid w:val="001A5D5A"/>
    <w:rsid w:val="001B63C5"/>
    <w:rsid w:val="001B6757"/>
    <w:rsid w:val="001C203E"/>
    <w:rsid w:val="001D3174"/>
    <w:rsid w:val="001E20C1"/>
    <w:rsid w:val="001E375F"/>
    <w:rsid w:val="001E51C0"/>
    <w:rsid w:val="001E57A7"/>
    <w:rsid w:val="001F132A"/>
    <w:rsid w:val="001F1420"/>
    <w:rsid w:val="001F671B"/>
    <w:rsid w:val="00200C40"/>
    <w:rsid w:val="00203B55"/>
    <w:rsid w:val="0020403E"/>
    <w:rsid w:val="00204395"/>
    <w:rsid w:val="00214638"/>
    <w:rsid w:val="00214D7B"/>
    <w:rsid w:val="00214E84"/>
    <w:rsid w:val="00217342"/>
    <w:rsid w:val="002201CC"/>
    <w:rsid w:val="002205CD"/>
    <w:rsid w:val="00220B10"/>
    <w:rsid w:val="00221F5A"/>
    <w:rsid w:val="002240BC"/>
    <w:rsid w:val="0022506A"/>
    <w:rsid w:val="00225389"/>
    <w:rsid w:val="002322BD"/>
    <w:rsid w:val="002353E7"/>
    <w:rsid w:val="00246D8A"/>
    <w:rsid w:val="00247996"/>
    <w:rsid w:val="002502CC"/>
    <w:rsid w:val="00251FCA"/>
    <w:rsid w:val="00260812"/>
    <w:rsid w:val="0026287A"/>
    <w:rsid w:val="002815E1"/>
    <w:rsid w:val="002835C3"/>
    <w:rsid w:val="00286254"/>
    <w:rsid w:val="0028679C"/>
    <w:rsid w:val="002A09D4"/>
    <w:rsid w:val="002B1543"/>
    <w:rsid w:val="002B1689"/>
    <w:rsid w:val="002C0D59"/>
    <w:rsid w:val="002C1413"/>
    <w:rsid w:val="002C4AFD"/>
    <w:rsid w:val="002C5715"/>
    <w:rsid w:val="002D3CBF"/>
    <w:rsid w:val="002D60B6"/>
    <w:rsid w:val="002E2954"/>
    <w:rsid w:val="002E6E80"/>
    <w:rsid w:val="002E790E"/>
    <w:rsid w:val="002F2AFF"/>
    <w:rsid w:val="003044CA"/>
    <w:rsid w:val="003058CC"/>
    <w:rsid w:val="00307A9A"/>
    <w:rsid w:val="0031555C"/>
    <w:rsid w:val="00320BBB"/>
    <w:rsid w:val="00321383"/>
    <w:rsid w:val="00324B07"/>
    <w:rsid w:val="0032743A"/>
    <w:rsid w:val="00337372"/>
    <w:rsid w:val="00340AEF"/>
    <w:rsid w:val="003476DE"/>
    <w:rsid w:val="0035034C"/>
    <w:rsid w:val="00350E18"/>
    <w:rsid w:val="00354035"/>
    <w:rsid w:val="0036258D"/>
    <w:rsid w:val="00363528"/>
    <w:rsid w:val="00363D29"/>
    <w:rsid w:val="0037223B"/>
    <w:rsid w:val="00376AAA"/>
    <w:rsid w:val="00377AE3"/>
    <w:rsid w:val="00380E46"/>
    <w:rsid w:val="00384470"/>
    <w:rsid w:val="00385DD0"/>
    <w:rsid w:val="00386E52"/>
    <w:rsid w:val="003B5AFF"/>
    <w:rsid w:val="003B5C8E"/>
    <w:rsid w:val="003C043D"/>
    <w:rsid w:val="003C392E"/>
    <w:rsid w:val="003D2706"/>
    <w:rsid w:val="003D2B8B"/>
    <w:rsid w:val="003D7CD9"/>
    <w:rsid w:val="003E5269"/>
    <w:rsid w:val="003E56FB"/>
    <w:rsid w:val="003F4D97"/>
    <w:rsid w:val="003F707E"/>
    <w:rsid w:val="003F77AF"/>
    <w:rsid w:val="0040594F"/>
    <w:rsid w:val="00406216"/>
    <w:rsid w:val="004105F7"/>
    <w:rsid w:val="004151B4"/>
    <w:rsid w:val="004202C1"/>
    <w:rsid w:val="004228BA"/>
    <w:rsid w:val="00425CE7"/>
    <w:rsid w:val="00427553"/>
    <w:rsid w:val="00437197"/>
    <w:rsid w:val="00440DC8"/>
    <w:rsid w:val="00445A84"/>
    <w:rsid w:val="00451749"/>
    <w:rsid w:val="004537C1"/>
    <w:rsid w:val="00461A41"/>
    <w:rsid w:val="004671E6"/>
    <w:rsid w:val="004836F0"/>
    <w:rsid w:val="00485231"/>
    <w:rsid w:val="0049182C"/>
    <w:rsid w:val="0049467B"/>
    <w:rsid w:val="00494D8A"/>
    <w:rsid w:val="00495516"/>
    <w:rsid w:val="004A3C8A"/>
    <w:rsid w:val="004A3EA8"/>
    <w:rsid w:val="004A590A"/>
    <w:rsid w:val="004B044D"/>
    <w:rsid w:val="004B361D"/>
    <w:rsid w:val="004B7610"/>
    <w:rsid w:val="004C12DD"/>
    <w:rsid w:val="004C1D42"/>
    <w:rsid w:val="004C5D93"/>
    <w:rsid w:val="004D135F"/>
    <w:rsid w:val="004E2AB5"/>
    <w:rsid w:val="004E4C18"/>
    <w:rsid w:val="004E4D9B"/>
    <w:rsid w:val="004E6B8F"/>
    <w:rsid w:val="004E6DD5"/>
    <w:rsid w:val="00504417"/>
    <w:rsid w:val="005053D8"/>
    <w:rsid w:val="0050739F"/>
    <w:rsid w:val="00513472"/>
    <w:rsid w:val="00523352"/>
    <w:rsid w:val="0052496D"/>
    <w:rsid w:val="00525483"/>
    <w:rsid w:val="0052647B"/>
    <w:rsid w:val="00530033"/>
    <w:rsid w:val="0053043B"/>
    <w:rsid w:val="00531147"/>
    <w:rsid w:val="005315A7"/>
    <w:rsid w:val="00531C82"/>
    <w:rsid w:val="005428A7"/>
    <w:rsid w:val="00542D0E"/>
    <w:rsid w:val="00543B25"/>
    <w:rsid w:val="005474A4"/>
    <w:rsid w:val="00552D4E"/>
    <w:rsid w:val="00563E3C"/>
    <w:rsid w:val="0056655E"/>
    <w:rsid w:val="0058504D"/>
    <w:rsid w:val="00586F8A"/>
    <w:rsid w:val="00587948"/>
    <w:rsid w:val="005911FD"/>
    <w:rsid w:val="005946B6"/>
    <w:rsid w:val="00594D65"/>
    <w:rsid w:val="005968D3"/>
    <w:rsid w:val="00597087"/>
    <w:rsid w:val="005B1974"/>
    <w:rsid w:val="005B2FE2"/>
    <w:rsid w:val="005B3F1A"/>
    <w:rsid w:val="005B4269"/>
    <w:rsid w:val="005C4487"/>
    <w:rsid w:val="005C6C6E"/>
    <w:rsid w:val="005D0364"/>
    <w:rsid w:val="005D3986"/>
    <w:rsid w:val="005E1F0E"/>
    <w:rsid w:val="005E61D3"/>
    <w:rsid w:val="005F67AD"/>
    <w:rsid w:val="005F7A1B"/>
    <w:rsid w:val="0060156E"/>
    <w:rsid w:val="006037D8"/>
    <w:rsid w:val="00626DDB"/>
    <w:rsid w:val="00626F0F"/>
    <w:rsid w:val="0062733B"/>
    <w:rsid w:val="006317EC"/>
    <w:rsid w:val="00633856"/>
    <w:rsid w:val="00633A5D"/>
    <w:rsid w:val="00635331"/>
    <w:rsid w:val="006361D0"/>
    <w:rsid w:val="0063715D"/>
    <w:rsid w:val="006375AE"/>
    <w:rsid w:val="006471AD"/>
    <w:rsid w:val="00647B90"/>
    <w:rsid w:val="00653494"/>
    <w:rsid w:val="006548C7"/>
    <w:rsid w:val="00654D68"/>
    <w:rsid w:val="006713A6"/>
    <w:rsid w:val="0067638D"/>
    <w:rsid w:val="00680BDF"/>
    <w:rsid w:val="00683D70"/>
    <w:rsid w:val="00692ACF"/>
    <w:rsid w:val="006948EF"/>
    <w:rsid w:val="0069546D"/>
    <w:rsid w:val="006A3EFF"/>
    <w:rsid w:val="006A445E"/>
    <w:rsid w:val="006A4C92"/>
    <w:rsid w:val="006A536A"/>
    <w:rsid w:val="006A7B5B"/>
    <w:rsid w:val="006B481D"/>
    <w:rsid w:val="006C1997"/>
    <w:rsid w:val="006C569E"/>
    <w:rsid w:val="006C7F3D"/>
    <w:rsid w:val="006D177F"/>
    <w:rsid w:val="006D3770"/>
    <w:rsid w:val="006E1784"/>
    <w:rsid w:val="006E3F32"/>
    <w:rsid w:val="006E69AE"/>
    <w:rsid w:val="006E738E"/>
    <w:rsid w:val="006F09F4"/>
    <w:rsid w:val="006F45B4"/>
    <w:rsid w:val="00704151"/>
    <w:rsid w:val="00704BEF"/>
    <w:rsid w:val="00715134"/>
    <w:rsid w:val="00716130"/>
    <w:rsid w:val="0072079F"/>
    <w:rsid w:val="00723CD5"/>
    <w:rsid w:val="00731D25"/>
    <w:rsid w:val="00733ED9"/>
    <w:rsid w:val="0074193C"/>
    <w:rsid w:val="00743D5F"/>
    <w:rsid w:val="0074432B"/>
    <w:rsid w:val="00745725"/>
    <w:rsid w:val="00747DDB"/>
    <w:rsid w:val="0075280C"/>
    <w:rsid w:val="00754554"/>
    <w:rsid w:val="00760897"/>
    <w:rsid w:val="00763500"/>
    <w:rsid w:val="00763A8F"/>
    <w:rsid w:val="00764C2F"/>
    <w:rsid w:val="00772EA7"/>
    <w:rsid w:val="00781219"/>
    <w:rsid w:val="00782ADC"/>
    <w:rsid w:val="00783D33"/>
    <w:rsid w:val="007862F7"/>
    <w:rsid w:val="00786314"/>
    <w:rsid w:val="00786624"/>
    <w:rsid w:val="007918E1"/>
    <w:rsid w:val="00795044"/>
    <w:rsid w:val="0079571B"/>
    <w:rsid w:val="00795FBD"/>
    <w:rsid w:val="007967EB"/>
    <w:rsid w:val="007A0139"/>
    <w:rsid w:val="007A3124"/>
    <w:rsid w:val="007A3B2A"/>
    <w:rsid w:val="007A4140"/>
    <w:rsid w:val="007A6DAF"/>
    <w:rsid w:val="007B1492"/>
    <w:rsid w:val="007B31F6"/>
    <w:rsid w:val="007C1537"/>
    <w:rsid w:val="007C1A54"/>
    <w:rsid w:val="007C76C4"/>
    <w:rsid w:val="007C7738"/>
    <w:rsid w:val="007C782F"/>
    <w:rsid w:val="007D5D21"/>
    <w:rsid w:val="007D5D57"/>
    <w:rsid w:val="007D6F03"/>
    <w:rsid w:val="007D7C9A"/>
    <w:rsid w:val="007F61E6"/>
    <w:rsid w:val="008032C3"/>
    <w:rsid w:val="0080782C"/>
    <w:rsid w:val="00811186"/>
    <w:rsid w:val="00814C02"/>
    <w:rsid w:val="0082225E"/>
    <w:rsid w:val="0083258D"/>
    <w:rsid w:val="008335EF"/>
    <w:rsid w:val="00834BEB"/>
    <w:rsid w:val="008358BD"/>
    <w:rsid w:val="00841924"/>
    <w:rsid w:val="008420D0"/>
    <w:rsid w:val="00843C3F"/>
    <w:rsid w:val="0084510C"/>
    <w:rsid w:val="00846C86"/>
    <w:rsid w:val="00865143"/>
    <w:rsid w:val="00877CE7"/>
    <w:rsid w:val="00882C30"/>
    <w:rsid w:val="0088558F"/>
    <w:rsid w:val="00887E13"/>
    <w:rsid w:val="0089124C"/>
    <w:rsid w:val="00892135"/>
    <w:rsid w:val="0089494E"/>
    <w:rsid w:val="008951A0"/>
    <w:rsid w:val="008A481E"/>
    <w:rsid w:val="008A7567"/>
    <w:rsid w:val="008B2169"/>
    <w:rsid w:val="008B4045"/>
    <w:rsid w:val="008B4BDD"/>
    <w:rsid w:val="008C2E69"/>
    <w:rsid w:val="008C30B1"/>
    <w:rsid w:val="008C3C83"/>
    <w:rsid w:val="008C65C4"/>
    <w:rsid w:val="008E1A20"/>
    <w:rsid w:val="008E1A32"/>
    <w:rsid w:val="008E1C78"/>
    <w:rsid w:val="008F13BB"/>
    <w:rsid w:val="008F5174"/>
    <w:rsid w:val="00901D90"/>
    <w:rsid w:val="009037A9"/>
    <w:rsid w:val="009038B3"/>
    <w:rsid w:val="00905FBC"/>
    <w:rsid w:val="009075D4"/>
    <w:rsid w:val="00915D99"/>
    <w:rsid w:val="00920074"/>
    <w:rsid w:val="009208A2"/>
    <w:rsid w:val="0092163C"/>
    <w:rsid w:val="00925007"/>
    <w:rsid w:val="009333B7"/>
    <w:rsid w:val="009336A3"/>
    <w:rsid w:val="0094397B"/>
    <w:rsid w:val="00947C2D"/>
    <w:rsid w:val="00950382"/>
    <w:rsid w:val="00957C1C"/>
    <w:rsid w:val="00960108"/>
    <w:rsid w:val="009664F3"/>
    <w:rsid w:val="00972AB6"/>
    <w:rsid w:val="009758B3"/>
    <w:rsid w:val="009762C1"/>
    <w:rsid w:val="009806BB"/>
    <w:rsid w:val="00983F25"/>
    <w:rsid w:val="0099511D"/>
    <w:rsid w:val="00997C1D"/>
    <w:rsid w:val="009A3C8F"/>
    <w:rsid w:val="009B3A1B"/>
    <w:rsid w:val="009B4C45"/>
    <w:rsid w:val="009B4DCD"/>
    <w:rsid w:val="009B760F"/>
    <w:rsid w:val="009B7970"/>
    <w:rsid w:val="009C1AC2"/>
    <w:rsid w:val="009C448F"/>
    <w:rsid w:val="009C6BF9"/>
    <w:rsid w:val="009C6C1B"/>
    <w:rsid w:val="009E227D"/>
    <w:rsid w:val="009E3B90"/>
    <w:rsid w:val="009F36B8"/>
    <w:rsid w:val="009F7B1C"/>
    <w:rsid w:val="00A0074B"/>
    <w:rsid w:val="00A12595"/>
    <w:rsid w:val="00A142D6"/>
    <w:rsid w:val="00A14619"/>
    <w:rsid w:val="00A17C46"/>
    <w:rsid w:val="00A36B7A"/>
    <w:rsid w:val="00A40040"/>
    <w:rsid w:val="00A43F26"/>
    <w:rsid w:val="00A569BF"/>
    <w:rsid w:val="00A56A62"/>
    <w:rsid w:val="00A56BF0"/>
    <w:rsid w:val="00A56C52"/>
    <w:rsid w:val="00A612BC"/>
    <w:rsid w:val="00A62928"/>
    <w:rsid w:val="00A675B7"/>
    <w:rsid w:val="00A75C94"/>
    <w:rsid w:val="00A7723E"/>
    <w:rsid w:val="00A80E42"/>
    <w:rsid w:val="00A8581B"/>
    <w:rsid w:val="00A96BAC"/>
    <w:rsid w:val="00AB2ECB"/>
    <w:rsid w:val="00AB7018"/>
    <w:rsid w:val="00AC1634"/>
    <w:rsid w:val="00AC5020"/>
    <w:rsid w:val="00AD1A7C"/>
    <w:rsid w:val="00AD3212"/>
    <w:rsid w:val="00AD3560"/>
    <w:rsid w:val="00AD5F00"/>
    <w:rsid w:val="00AE0E11"/>
    <w:rsid w:val="00AE2D88"/>
    <w:rsid w:val="00AE3634"/>
    <w:rsid w:val="00AE5511"/>
    <w:rsid w:val="00AE56AE"/>
    <w:rsid w:val="00AF300B"/>
    <w:rsid w:val="00AF6056"/>
    <w:rsid w:val="00AF6A0F"/>
    <w:rsid w:val="00AF6C73"/>
    <w:rsid w:val="00B0034E"/>
    <w:rsid w:val="00B01935"/>
    <w:rsid w:val="00B02F99"/>
    <w:rsid w:val="00B07869"/>
    <w:rsid w:val="00B103C6"/>
    <w:rsid w:val="00B10A2A"/>
    <w:rsid w:val="00B14AD5"/>
    <w:rsid w:val="00B21E0C"/>
    <w:rsid w:val="00B22BEF"/>
    <w:rsid w:val="00B23A84"/>
    <w:rsid w:val="00B267EA"/>
    <w:rsid w:val="00B300F1"/>
    <w:rsid w:val="00B30B73"/>
    <w:rsid w:val="00B34FB3"/>
    <w:rsid w:val="00B36677"/>
    <w:rsid w:val="00B369B4"/>
    <w:rsid w:val="00B4401C"/>
    <w:rsid w:val="00B514AB"/>
    <w:rsid w:val="00B56625"/>
    <w:rsid w:val="00B57603"/>
    <w:rsid w:val="00B63CDA"/>
    <w:rsid w:val="00B76389"/>
    <w:rsid w:val="00B80CCE"/>
    <w:rsid w:val="00B8408A"/>
    <w:rsid w:val="00B849B4"/>
    <w:rsid w:val="00B86CCE"/>
    <w:rsid w:val="00B94120"/>
    <w:rsid w:val="00BB3486"/>
    <w:rsid w:val="00BB6F71"/>
    <w:rsid w:val="00BB7F3B"/>
    <w:rsid w:val="00BC0274"/>
    <w:rsid w:val="00BC65E6"/>
    <w:rsid w:val="00BD3E18"/>
    <w:rsid w:val="00BD5858"/>
    <w:rsid w:val="00BE1491"/>
    <w:rsid w:val="00BE2AE4"/>
    <w:rsid w:val="00BE37EE"/>
    <w:rsid w:val="00BF1E18"/>
    <w:rsid w:val="00BF328A"/>
    <w:rsid w:val="00C00C64"/>
    <w:rsid w:val="00C050E1"/>
    <w:rsid w:val="00C075DD"/>
    <w:rsid w:val="00C07A75"/>
    <w:rsid w:val="00C138A0"/>
    <w:rsid w:val="00C176C5"/>
    <w:rsid w:val="00C1789E"/>
    <w:rsid w:val="00C25C04"/>
    <w:rsid w:val="00C26649"/>
    <w:rsid w:val="00C36E9A"/>
    <w:rsid w:val="00C408B8"/>
    <w:rsid w:val="00C40C38"/>
    <w:rsid w:val="00C42277"/>
    <w:rsid w:val="00C5216F"/>
    <w:rsid w:val="00C521DE"/>
    <w:rsid w:val="00C5672F"/>
    <w:rsid w:val="00C56A49"/>
    <w:rsid w:val="00C57F9D"/>
    <w:rsid w:val="00C63F4B"/>
    <w:rsid w:val="00C732A3"/>
    <w:rsid w:val="00C83F60"/>
    <w:rsid w:val="00C85E07"/>
    <w:rsid w:val="00C903EC"/>
    <w:rsid w:val="00CA268E"/>
    <w:rsid w:val="00CA3691"/>
    <w:rsid w:val="00CA41E5"/>
    <w:rsid w:val="00CA465A"/>
    <w:rsid w:val="00CA4D55"/>
    <w:rsid w:val="00CB7B22"/>
    <w:rsid w:val="00CB7EA7"/>
    <w:rsid w:val="00CC2B2B"/>
    <w:rsid w:val="00CC5073"/>
    <w:rsid w:val="00CD0105"/>
    <w:rsid w:val="00CE141C"/>
    <w:rsid w:val="00CE1F21"/>
    <w:rsid w:val="00CE5AB7"/>
    <w:rsid w:val="00CF08C8"/>
    <w:rsid w:val="00CF5576"/>
    <w:rsid w:val="00CF57AB"/>
    <w:rsid w:val="00D0024C"/>
    <w:rsid w:val="00D003E2"/>
    <w:rsid w:val="00D12CCC"/>
    <w:rsid w:val="00D20D59"/>
    <w:rsid w:val="00D31BB2"/>
    <w:rsid w:val="00D35082"/>
    <w:rsid w:val="00D350F6"/>
    <w:rsid w:val="00D428CE"/>
    <w:rsid w:val="00D46F22"/>
    <w:rsid w:val="00D470D9"/>
    <w:rsid w:val="00D50577"/>
    <w:rsid w:val="00D510E7"/>
    <w:rsid w:val="00D56880"/>
    <w:rsid w:val="00D6040F"/>
    <w:rsid w:val="00D60D76"/>
    <w:rsid w:val="00D67486"/>
    <w:rsid w:val="00D72A6D"/>
    <w:rsid w:val="00D76F72"/>
    <w:rsid w:val="00D80434"/>
    <w:rsid w:val="00D81451"/>
    <w:rsid w:val="00D83B25"/>
    <w:rsid w:val="00D849C2"/>
    <w:rsid w:val="00D84C91"/>
    <w:rsid w:val="00D851BB"/>
    <w:rsid w:val="00D91803"/>
    <w:rsid w:val="00D92A6D"/>
    <w:rsid w:val="00D93176"/>
    <w:rsid w:val="00DA01C7"/>
    <w:rsid w:val="00DA0360"/>
    <w:rsid w:val="00DA1D02"/>
    <w:rsid w:val="00DC08E5"/>
    <w:rsid w:val="00DC1445"/>
    <w:rsid w:val="00DC28FF"/>
    <w:rsid w:val="00DD1550"/>
    <w:rsid w:val="00DD76C3"/>
    <w:rsid w:val="00DD7BC7"/>
    <w:rsid w:val="00DD7DE9"/>
    <w:rsid w:val="00DE170E"/>
    <w:rsid w:val="00E0782F"/>
    <w:rsid w:val="00E11F52"/>
    <w:rsid w:val="00E13CCB"/>
    <w:rsid w:val="00E2643B"/>
    <w:rsid w:val="00E2783F"/>
    <w:rsid w:val="00E30CF4"/>
    <w:rsid w:val="00E32019"/>
    <w:rsid w:val="00E36864"/>
    <w:rsid w:val="00E36E19"/>
    <w:rsid w:val="00E44DAF"/>
    <w:rsid w:val="00E466C5"/>
    <w:rsid w:val="00E52089"/>
    <w:rsid w:val="00E565C1"/>
    <w:rsid w:val="00E70110"/>
    <w:rsid w:val="00E74F86"/>
    <w:rsid w:val="00E8091B"/>
    <w:rsid w:val="00E81C14"/>
    <w:rsid w:val="00E86E3E"/>
    <w:rsid w:val="00E86EB7"/>
    <w:rsid w:val="00E91DAD"/>
    <w:rsid w:val="00E93E38"/>
    <w:rsid w:val="00E9652D"/>
    <w:rsid w:val="00E97A7B"/>
    <w:rsid w:val="00EA10F3"/>
    <w:rsid w:val="00EA1C28"/>
    <w:rsid w:val="00EB73F0"/>
    <w:rsid w:val="00EC433C"/>
    <w:rsid w:val="00EC44A2"/>
    <w:rsid w:val="00ED5C3E"/>
    <w:rsid w:val="00EE60D3"/>
    <w:rsid w:val="00EE782A"/>
    <w:rsid w:val="00EF04CE"/>
    <w:rsid w:val="00EF085D"/>
    <w:rsid w:val="00EF0FBE"/>
    <w:rsid w:val="00EF4161"/>
    <w:rsid w:val="00EF54BB"/>
    <w:rsid w:val="00EF7E6E"/>
    <w:rsid w:val="00F01853"/>
    <w:rsid w:val="00F0366F"/>
    <w:rsid w:val="00F1006B"/>
    <w:rsid w:val="00F119B7"/>
    <w:rsid w:val="00F12521"/>
    <w:rsid w:val="00F210B6"/>
    <w:rsid w:val="00F25164"/>
    <w:rsid w:val="00F3025C"/>
    <w:rsid w:val="00F34923"/>
    <w:rsid w:val="00F40B16"/>
    <w:rsid w:val="00F61F14"/>
    <w:rsid w:val="00F62BE5"/>
    <w:rsid w:val="00F7154A"/>
    <w:rsid w:val="00F71A63"/>
    <w:rsid w:val="00F74112"/>
    <w:rsid w:val="00F83177"/>
    <w:rsid w:val="00FA436A"/>
    <w:rsid w:val="00FB66D2"/>
    <w:rsid w:val="00FB6A1A"/>
    <w:rsid w:val="00FB6F16"/>
    <w:rsid w:val="00FB748D"/>
    <w:rsid w:val="00FC4095"/>
    <w:rsid w:val="00FC4A53"/>
    <w:rsid w:val="00FD2A02"/>
    <w:rsid w:val="00FD3591"/>
    <w:rsid w:val="00FD73AF"/>
    <w:rsid w:val="00FE5C29"/>
    <w:rsid w:val="00FF134E"/>
    <w:rsid w:val="00FF362A"/>
    <w:rsid w:val="00FF544E"/>
    <w:rsid w:val="00FF5511"/>
    <w:rsid w:val="00FF630C"/>
    <w:rsid w:val="01D41A6F"/>
    <w:rsid w:val="11216B87"/>
    <w:rsid w:val="163254CB"/>
    <w:rsid w:val="250005AA"/>
    <w:rsid w:val="430F2C92"/>
    <w:rsid w:val="65372B30"/>
    <w:rsid w:val="6D1974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
    <w:qFormat/>
    <w:uiPriority w:val="0"/>
    <w:pPr>
      <w:keepNext/>
      <w:keepLines/>
      <w:spacing w:before="340" w:after="330" w:line="578" w:lineRule="auto"/>
      <w:jc w:val="center"/>
      <w:outlineLvl w:val="0"/>
    </w:pPr>
    <w:rPr>
      <w:rFonts w:ascii="Calibri" w:hAnsi="Calibri" w:eastAsia="楷体_GB2312"/>
      <w:b/>
      <w:kern w:val="44"/>
      <w:sz w:val="44"/>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8"/>
    <w:semiHidden/>
    <w:unhideWhenUsed/>
    <w:uiPriority w:val="99"/>
    <w:pPr>
      <w:jc w:val="left"/>
    </w:pPr>
  </w:style>
  <w:style w:type="paragraph" w:styleId="4">
    <w:name w:val="Balloon Text"/>
    <w:basedOn w:val="1"/>
    <w:link w:val="17"/>
    <w:semiHidden/>
    <w:unhideWhenUsed/>
    <w:uiPriority w:val="99"/>
    <w:rPr>
      <w:sz w:val="18"/>
      <w:szCs w:val="18"/>
    </w:rPr>
  </w:style>
  <w:style w:type="paragraph" w:styleId="5">
    <w:name w:val="footer"/>
    <w:basedOn w:val="1"/>
    <w:link w:val="14"/>
    <w:unhideWhenUsed/>
    <w:uiPriority w:val="99"/>
    <w:pPr>
      <w:tabs>
        <w:tab w:val="center" w:pos="4153"/>
        <w:tab w:val="right" w:pos="8306"/>
      </w:tabs>
      <w:snapToGrid w:val="0"/>
      <w:jc w:val="left"/>
    </w:pPr>
    <w:rPr>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pPr>
      <w:jc w:val="left"/>
    </w:pPr>
    <w:rPr>
      <w:rFonts w:ascii="Calibri" w:hAnsi="Calibri"/>
      <w:kern w:val="0"/>
      <w:sz w:val="24"/>
      <w:szCs w:val="22"/>
    </w:rPr>
  </w:style>
  <w:style w:type="paragraph" w:styleId="8">
    <w:name w:val="annotation subject"/>
    <w:basedOn w:val="3"/>
    <w:next w:val="3"/>
    <w:link w:val="19"/>
    <w:semiHidden/>
    <w:unhideWhenUsed/>
    <w:uiPriority w:val="99"/>
    <w:rPr>
      <w:b/>
      <w:bCs/>
    </w:rPr>
  </w:style>
  <w:style w:type="character" w:styleId="11">
    <w:name w:val="annotation reference"/>
    <w:basedOn w:val="10"/>
    <w:semiHidden/>
    <w:unhideWhenUsed/>
    <w:uiPriority w:val="99"/>
    <w:rPr>
      <w:sz w:val="21"/>
      <w:szCs w:val="21"/>
    </w:rPr>
  </w:style>
  <w:style w:type="character" w:customStyle="1" w:styleId="12">
    <w:name w:val="标题 1 字符"/>
    <w:basedOn w:val="10"/>
    <w:link w:val="2"/>
    <w:uiPriority w:val="0"/>
    <w:rPr>
      <w:rFonts w:ascii="Calibri" w:hAnsi="Calibri" w:eastAsia="楷体_GB2312" w:cs="Times New Roman"/>
      <w:b/>
      <w:kern w:val="44"/>
      <w:sz w:val="44"/>
      <w:szCs w:val="24"/>
    </w:rPr>
  </w:style>
  <w:style w:type="character" w:customStyle="1" w:styleId="13">
    <w:name w:val="页眉 字符"/>
    <w:basedOn w:val="10"/>
    <w:link w:val="6"/>
    <w:uiPriority w:val="99"/>
    <w:rPr>
      <w:rFonts w:ascii="Times New Roman" w:hAnsi="Times New Roman" w:eastAsia="宋体" w:cs="Times New Roman"/>
      <w:sz w:val="18"/>
      <w:szCs w:val="18"/>
    </w:rPr>
  </w:style>
  <w:style w:type="character" w:customStyle="1" w:styleId="14">
    <w:name w:val="页脚 字符"/>
    <w:basedOn w:val="10"/>
    <w:link w:val="5"/>
    <w:uiPriority w:val="99"/>
    <w:rPr>
      <w:rFonts w:ascii="Times New Roman" w:hAnsi="Times New Roman" w:eastAsia="宋体" w:cs="Times New Roman"/>
      <w:sz w:val="18"/>
      <w:szCs w:val="18"/>
    </w:rPr>
  </w:style>
  <w:style w:type="paragraph" w:customStyle="1" w:styleId="15">
    <w:name w:val="正文 New"/>
    <w:qFormat/>
    <w:uiPriority w:val="0"/>
    <w:pPr>
      <w:widowControl w:val="0"/>
      <w:jc w:val="both"/>
    </w:pPr>
    <w:rPr>
      <w:rFonts w:ascii="Times New Roman" w:hAnsi="Times New Roman" w:eastAsia="宋体" w:cs="宋体"/>
      <w:kern w:val="2"/>
      <w:sz w:val="21"/>
      <w:szCs w:val="22"/>
      <w:lang w:val="en-US" w:eastAsia="zh-CN" w:bidi="ar-SA"/>
    </w:rPr>
  </w:style>
  <w:style w:type="paragraph" w:styleId="16">
    <w:name w:val="List Paragraph"/>
    <w:basedOn w:val="1"/>
    <w:qFormat/>
    <w:uiPriority w:val="34"/>
    <w:pPr>
      <w:ind w:firstLine="420" w:firstLineChars="200"/>
    </w:pPr>
  </w:style>
  <w:style w:type="character" w:customStyle="1" w:styleId="17">
    <w:name w:val="批注框文本 字符"/>
    <w:basedOn w:val="10"/>
    <w:link w:val="4"/>
    <w:semiHidden/>
    <w:uiPriority w:val="99"/>
    <w:rPr>
      <w:rFonts w:ascii="Times New Roman" w:hAnsi="Times New Roman" w:eastAsia="宋体" w:cs="Times New Roman"/>
      <w:sz w:val="18"/>
      <w:szCs w:val="18"/>
    </w:rPr>
  </w:style>
  <w:style w:type="character" w:customStyle="1" w:styleId="18">
    <w:name w:val="批注文字 字符"/>
    <w:basedOn w:val="10"/>
    <w:link w:val="3"/>
    <w:semiHidden/>
    <w:uiPriority w:val="99"/>
    <w:rPr>
      <w:rFonts w:ascii="Times New Roman" w:hAnsi="Times New Roman" w:eastAsia="宋体" w:cs="Times New Roman"/>
      <w:kern w:val="2"/>
      <w:sz w:val="21"/>
      <w:szCs w:val="24"/>
    </w:rPr>
  </w:style>
  <w:style w:type="character" w:customStyle="1" w:styleId="19">
    <w:name w:val="批注主题 字符"/>
    <w:basedOn w:val="18"/>
    <w:link w:val="8"/>
    <w:semiHidden/>
    <w:uiPriority w:val="99"/>
    <w:rPr>
      <w:rFonts w:ascii="Times New Roman" w:hAnsi="Times New Roman" w:eastAsia="宋体" w:cs="Times New Roman"/>
      <w:b/>
      <w:bCs/>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C51B6-3F9E-4DB5-AA0D-A3ECF101AE43}">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Pages>
  <Words>612</Words>
  <Characters>3492</Characters>
  <Lines>29</Lines>
  <Paragraphs>8</Paragraphs>
  <TotalTime>617</TotalTime>
  <ScaleCrop>false</ScaleCrop>
  <LinksUpToDate>false</LinksUpToDate>
  <CharactersWithSpaces>4096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2022-04-19T06:50:00Z</dcterms:created>
  <dc:creator>lenovo</dc:creator>
  <cp:lastModifiedBy>李多肉</cp:lastModifiedBy>
  <cp:lastPrinted>2023-03-27T07:25:00Z</cp:lastPrinted>
  <dcterms:modified xsi:type="dcterms:W3CDTF">2023-04-10T08:57:01Z</dcterms:modified>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BE19E986B2CB4B5CBD3B15F1257390A0</vt:lpwstr>
  </property>
</Properties>
</file>